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DE6" w:rsidRPr="00F42DE6" w:rsidRDefault="00F42DE6" w:rsidP="00F42DE6">
      <w:pPr>
        <w:pStyle w:val="cn"/>
        <w:shd w:val="clear" w:color="auto" w:fill="FFFFFF"/>
        <w:spacing w:before="0" w:beforeAutospacing="0" w:after="0" w:afterAutospacing="0"/>
        <w:ind w:left="-426"/>
        <w:jc w:val="center"/>
        <w:rPr>
          <w:b/>
          <w:bCs/>
          <w:color w:val="000000"/>
          <w:lang w:val="ro-MD"/>
        </w:rPr>
      </w:pPr>
      <w:r w:rsidRPr="00F42DE6">
        <w:rPr>
          <w:b/>
          <w:bCs/>
          <w:color w:val="000000"/>
          <w:lang w:val="ro-MD"/>
        </w:rPr>
        <w:t>NOTA DE FUNDAMENTARE</w:t>
      </w:r>
    </w:p>
    <w:p w:rsidR="00F42DE6" w:rsidRPr="00F42DE6" w:rsidRDefault="00F42DE6" w:rsidP="00F42DE6">
      <w:pPr>
        <w:pStyle w:val="cn"/>
        <w:shd w:val="clear" w:color="auto" w:fill="FFFFFF"/>
        <w:spacing w:before="0" w:beforeAutospacing="0" w:after="0" w:afterAutospacing="0"/>
        <w:ind w:left="-426"/>
        <w:jc w:val="center"/>
        <w:rPr>
          <w:b/>
          <w:bCs/>
          <w:color w:val="000000"/>
          <w:lang w:val="ro-MD"/>
        </w:rPr>
      </w:pPr>
      <w:r w:rsidRPr="00F42DE6">
        <w:rPr>
          <w:b/>
          <w:bCs/>
          <w:color w:val="000000"/>
          <w:lang w:val="ro-MD"/>
        </w:rPr>
        <w:t>la proiectul de Hotărâre de Guvern cu privire la alocarea mijloacelor financiare</w:t>
      </w:r>
    </w:p>
    <w:p w:rsidR="00077835" w:rsidRPr="00077835" w:rsidRDefault="00F42DE6" w:rsidP="00F42DE6">
      <w:pPr>
        <w:pStyle w:val="cn"/>
        <w:shd w:val="clear" w:color="auto" w:fill="FFFFFF"/>
        <w:spacing w:before="0" w:beforeAutospacing="0" w:after="0" w:afterAutospacing="0"/>
        <w:ind w:left="-426"/>
        <w:jc w:val="center"/>
        <w:rPr>
          <w:b/>
          <w:bCs/>
          <w:color w:val="000000"/>
        </w:rPr>
      </w:pPr>
      <w:r w:rsidRPr="00F42DE6">
        <w:rPr>
          <w:b/>
          <w:bCs/>
          <w:color w:val="000000"/>
          <w:lang w:val="ro-MD"/>
        </w:rPr>
        <w:t>(ajutor financiar pentru fermierii afectați de seceta în anul 2024)</w:t>
      </w:r>
    </w:p>
    <w:p w:rsidR="00746F55" w:rsidRDefault="00077835" w:rsidP="00077835">
      <w:pPr>
        <w:pStyle w:val="cn"/>
        <w:shd w:val="clear" w:color="auto" w:fill="FFFFFF"/>
        <w:spacing w:before="0" w:beforeAutospacing="0" w:after="0" w:afterAutospacing="0"/>
        <w:jc w:val="center"/>
        <w:rPr>
          <w:lang w:val="ro-MD"/>
        </w:rPr>
      </w:pPr>
      <w:r>
        <w:rPr>
          <w:lang w:val="ro-MD"/>
        </w:rPr>
        <w:tab/>
      </w:r>
    </w:p>
    <w:tbl>
      <w:tblPr>
        <w:tblW w:w="5961" w:type="pct"/>
        <w:tblInd w:w="-1209" w:type="dxa"/>
        <w:shd w:val="clear" w:color="auto" w:fill="FFFFFF"/>
        <w:tblCellMar>
          <w:left w:w="0" w:type="dxa"/>
          <w:right w:w="0" w:type="dxa"/>
        </w:tblCellMar>
        <w:tblLook w:val="04A0" w:firstRow="1" w:lastRow="0" w:firstColumn="1" w:lastColumn="0" w:noHBand="0" w:noVBand="1"/>
      </w:tblPr>
      <w:tblGrid>
        <w:gridCol w:w="11153"/>
      </w:tblGrid>
      <w:tr w:rsidR="00645815" w:rsidRPr="007F23AE" w:rsidTr="00BA77A0">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1. Denumirea sau numele autorului şi, după caz, a/al participanţilor la elaborarea proiectului actului normativ</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E74109" w:rsidP="00E74109">
            <w:pPr>
              <w:spacing w:after="0" w:line="240" w:lineRule="auto"/>
              <w:ind w:firstLine="452"/>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 xml:space="preserve">Proiectul hotărârii de Guvern </w:t>
            </w:r>
            <w:r w:rsidRPr="00E74109">
              <w:rPr>
                <w:rFonts w:ascii="Times New Roman" w:eastAsia="Times New Roman" w:hAnsi="Times New Roman" w:cs="Times New Roman"/>
                <w:color w:val="000000"/>
                <w:sz w:val="24"/>
                <w:szCs w:val="24"/>
                <w:lang w:val="ro-MD" w:eastAsia="ru-RU"/>
              </w:rPr>
              <w:t>pentru aprobarea Regulamentului cu privire la stabilirea modului de acordare a ajutorului pentru fermierii afectaţi de situațiile excepționale cu caracter natural „Secetă” și „Arșiță puternică” din anul 2024 la grâu și porumb</w:t>
            </w:r>
            <w:r w:rsidR="00CF5C96" w:rsidRPr="007002B9">
              <w:rPr>
                <w:rFonts w:ascii="Times New Roman" w:eastAsia="Times New Roman" w:hAnsi="Times New Roman" w:cs="Times New Roman"/>
                <w:color w:val="000000"/>
                <w:sz w:val="24"/>
                <w:szCs w:val="24"/>
                <w:lang w:val="ro-MD" w:eastAsia="ru-RU"/>
              </w:rPr>
              <w:t>,</w:t>
            </w:r>
            <w:r>
              <w:rPr>
                <w:rFonts w:ascii="Times New Roman" w:eastAsia="Times New Roman" w:hAnsi="Times New Roman" w:cs="Times New Roman"/>
                <w:color w:val="000000"/>
                <w:sz w:val="24"/>
                <w:szCs w:val="24"/>
                <w:lang w:val="ro-MD" w:eastAsia="ru-RU"/>
              </w:rPr>
              <w:t xml:space="preserve"> a fost elaborat de</w:t>
            </w:r>
            <w:r w:rsidR="00CF5C96" w:rsidRPr="007002B9">
              <w:rPr>
                <w:rFonts w:ascii="Times New Roman" w:eastAsia="Times New Roman" w:hAnsi="Times New Roman" w:cs="Times New Roman"/>
                <w:color w:val="000000"/>
                <w:sz w:val="24"/>
                <w:szCs w:val="24"/>
                <w:lang w:val="ro-MD" w:eastAsia="ru-RU"/>
              </w:rPr>
              <w:t xml:space="preserve"> Ministerul Agriculturii și Industriei Alimentare.</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2. Condiţiile ce au impus elaborarea proiectului actului normativ</w:t>
            </w:r>
          </w:p>
        </w:tc>
      </w:tr>
      <w:tr w:rsidR="00BA77A0" w:rsidRPr="007F23AE" w:rsidTr="00597818">
        <w:trPr>
          <w:trHeight w:val="2086"/>
        </w:trPr>
        <w:tc>
          <w:tcPr>
            <w:tcW w:w="0" w:type="auto"/>
            <w:tcBorders>
              <w:top w:val="single" w:sz="6" w:space="0" w:color="000000"/>
              <w:left w:val="single" w:sz="6" w:space="0" w:color="000000"/>
              <w:right w:val="single" w:sz="6" w:space="0" w:color="000000"/>
            </w:tcBorders>
            <w:shd w:val="clear" w:color="auto" w:fill="FFFFFF"/>
            <w:tcMar>
              <w:top w:w="24" w:type="dxa"/>
              <w:left w:w="48" w:type="dxa"/>
              <w:bottom w:w="24" w:type="dxa"/>
              <w:right w:w="48" w:type="dxa"/>
            </w:tcMar>
            <w:hideMark/>
          </w:tcPr>
          <w:p w:rsidR="00BA77A0" w:rsidRPr="007002B9" w:rsidRDefault="00BA77A0" w:rsidP="006A298B">
            <w:pPr>
              <w:spacing w:after="0" w:line="240" w:lineRule="auto"/>
              <w:jc w:val="both"/>
              <w:rPr>
                <w:rFonts w:ascii="Times New Roman" w:eastAsia="Times New Roman" w:hAnsi="Times New Roman" w:cs="Times New Roman"/>
                <w:b/>
                <w:color w:val="000000"/>
                <w:sz w:val="24"/>
                <w:szCs w:val="24"/>
                <w:lang w:val="ro-MD" w:eastAsia="ru-RU"/>
              </w:rPr>
            </w:pPr>
            <w:r w:rsidRPr="007002B9">
              <w:rPr>
                <w:rFonts w:ascii="Times New Roman" w:eastAsia="Times New Roman" w:hAnsi="Times New Roman" w:cs="Times New Roman"/>
                <w:b/>
                <w:color w:val="000000"/>
                <w:sz w:val="24"/>
                <w:szCs w:val="24"/>
                <w:lang w:val="ro-MD" w:eastAsia="ru-RU"/>
              </w:rPr>
              <w:t>2.1. Temeiul legal sau, după caz, sursa proiectului actului normativ</w:t>
            </w:r>
          </w:p>
          <w:p w:rsidR="00BA77A0" w:rsidRPr="007002B9" w:rsidRDefault="00BA77A0" w:rsidP="00292353">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Temeiul legal pentru elaborarea proiectului </w:t>
            </w:r>
            <w:r w:rsidR="00077835" w:rsidRPr="007002B9">
              <w:rPr>
                <w:rFonts w:ascii="Times New Roman" w:eastAsia="Times New Roman" w:hAnsi="Times New Roman" w:cs="Times New Roman"/>
                <w:color w:val="000000"/>
                <w:sz w:val="24"/>
                <w:szCs w:val="24"/>
                <w:lang w:val="ro-MD" w:eastAsia="ru-RU"/>
              </w:rPr>
              <w:t xml:space="preserve">Hotărârii de Guvern pentru aprobarea Regulamentului cu privire la stabilirea modului de acordare a ajutorului pentru fermierii afectaţi de situațiile excepționale cu caracter natural „Secetă” și „Arșiță puternică” din anul 2024 la grâu și porumb, </w:t>
            </w:r>
            <w:r w:rsidRPr="007002B9">
              <w:rPr>
                <w:rFonts w:ascii="Times New Roman" w:eastAsia="Times New Roman" w:hAnsi="Times New Roman" w:cs="Times New Roman"/>
                <w:color w:val="000000"/>
                <w:sz w:val="24"/>
                <w:szCs w:val="24"/>
                <w:lang w:val="ro-MD" w:eastAsia="ru-RU"/>
              </w:rPr>
              <w:t xml:space="preserve">reiese din </w:t>
            </w:r>
            <w:r w:rsidR="00077835" w:rsidRPr="007002B9">
              <w:rPr>
                <w:rFonts w:ascii="Times New Roman" w:eastAsia="Times New Roman" w:hAnsi="Times New Roman" w:cs="Times New Roman"/>
                <w:color w:val="000000"/>
                <w:sz w:val="24"/>
                <w:szCs w:val="24"/>
                <w:lang w:val="ro-MD" w:eastAsia="ru-RU"/>
              </w:rPr>
              <w:t>art. 19 lit. g) şi art. 36 alin. (1) lit. b) din Legea finanțelor publice şi responsabilității bugetar-fiscale nr. 181/2014 (Monitorul Oficial al Republicii Moldova, 2014, nr. 223-230, art. 519)</w:t>
            </w:r>
            <w:r w:rsidR="000F1049" w:rsidRPr="007002B9">
              <w:rPr>
                <w:rFonts w:ascii="Times New Roman" w:eastAsia="Times New Roman" w:hAnsi="Times New Roman" w:cs="Times New Roman"/>
                <w:color w:val="000000"/>
                <w:sz w:val="24"/>
                <w:szCs w:val="24"/>
                <w:lang w:val="ro-MD" w:eastAsia="ru-RU"/>
              </w:rPr>
              <w:t>, cu modificările ulterioare</w:t>
            </w:r>
            <w:r w:rsidRPr="007002B9">
              <w:rPr>
                <w:rFonts w:ascii="Times New Roman" w:eastAsia="Times New Roman" w:hAnsi="Times New Roman" w:cs="Times New Roman"/>
                <w:color w:val="000000"/>
                <w:sz w:val="24"/>
                <w:szCs w:val="24"/>
                <w:lang w:val="ro-MD" w:eastAsia="ru-RU"/>
              </w:rPr>
              <w:t>.</w:t>
            </w:r>
          </w:p>
          <w:p w:rsidR="00BA77A0" w:rsidRPr="007002B9" w:rsidRDefault="00BA77A0" w:rsidP="006A298B">
            <w:pPr>
              <w:spacing w:after="0" w:line="240" w:lineRule="auto"/>
              <w:jc w:val="both"/>
              <w:rPr>
                <w:rFonts w:ascii="Times New Roman" w:eastAsia="Times New Roman" w:hAnsi="Times New Roman" w:cs="Times New Roman"/>
                <w:b/>
                <w:color w:val="000000"/>
                <w:sz w:val="24"/>
                <w:szCs w:val="24"/>
                <w:lang w:val="ro-MD" w:eastAsia="ru-RU"/>
              </w:rPr>
            </w:pPr>
            <w:r w:rsidRPr="007002B9">
              <w:rPr>
                <w:rFonts w:ascii="Times New Roman" w:eastAsia="Times New Roman" w:hAnsi="Times New Roman" w:cs="Times New Roman"/>
                <w:b/>
                <w:color w:val="000000"/>
                <w:sz w:val="24"/>
                <w:szCs w:val="24"/>
                <w:lang w:val="ro-MD" w:eastAsia="ru-RU"/>
              </w:rPr>
              <w:t>2.2. Descrierea situaţiei actuale şi a problemelor care impun intervenţia, inclusiv a cadrului normativ aplicabil şi a deficienţelor/lacunelor normative</w:t>
            </w:r>
          </w:p>
          <w:p w:rsidR="00567813" w:rsidRPr="007002B9" w:rsidRDefault="00567813" w:rsidP="00292353">
            <w:pPr>
              <w:spacing w:after="0" w:line="240" w:lineRule="auto"/>
              <w:ind w:firstLine="452"/>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val="ru-RU" w:eastAsia="ru-RU"/>
              </w:rPr>
              <w:t>Anul 2024, din punct de vedere meteorologic, s-a dovedit a fi unul extrem de atipic, caracterizat de o serie de calamități naturale, cum ar fi grindină, secetă, furtuni de praf și înghețuri, care au afectat direct culturile agricole din Republica Moldova. Dintre toate aceste fenomene, seceta a fost cea mai devastatoare, provocând pierderi majore în recoltă și impactând grav activitatea economică a fermierilor.</w:t>
            </w:r>
          </w:p>
          <w:p w:rsidR="00567813" w:rsidRPr="007002B9" w:rsidRDefault="00567813" w:rsidP="00567813">
            <w:pPr>
              <w:spacing w:after="0" w:line="240" w:lineRule="auto"/>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Din punct de vedere al temperaturilor:</w:t>
            </w:r>
          </w:p>
          <w:p w:rsidR="00567813" w:rsidRPr="007002B9" w:rsidRDefault="00567813" w:rsidP="00292353">
            <w:pPr>
              <w:spacing w:after="0" w:line="240" w:lineRule="auto"/>
              <w:ind w:firstLine="452"/>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 xml:space="preserve">Toamna anului 2023 a fost anomal de caldă și cu deficit de precipitații. Temperatura medie a aerului pe parcursul sezonului de toamnă (septembrie- noiembrie) a constituit în teritoriu +12,1..+15,2ºС, fiind cu 3,2-4,2ºС mai ridicată față de normă. </w:t>
            </w:r>
          </w:p>
          <w:p w:rsidR="00567813" w:rsidRPr="007002B9" w:rsidRDefault="00567813" w:rsidP="00292353">
            <w:pPr>
              <w:spacing w:after="0" w:line="240" w:lineRule="auto"/>
              <w:ind w:firstLine="452"/>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 xml:space="preserve">Primăvara anului 2024 în Republica Moldova a fost caldă, temperatura medie a aerului pe parcursul sezonului a constituit în teritoriu +11,5..+13,3ºС, fiind cu 2,0-3,1°С mai ridicată faţă de normă, care se atestă în medie o dată în 20-40 ani. </w:t>
            </w:r>
          </w:p>
          <w:p w:rsidR="00567813" w:rsidRPr="007002B9" w:rsidRDefault="00567813" w:rsidP="00292353">
            <w:pPr>
              <w:spacing w:after="0" w:line="240" w:lineRule="auto"/>
              <w:ind w:firstLine="452"/>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Vara anului 2024 a fost cu temperaturi anomal de caniculară, numărul zilelor cu temperatura maximă a aerului până la +39,5..+40,9ºС, pe teritoriul țării a constituit 18-26 zile (norma fiind 3-11 zile), ce se semnalează în medie o dată la 10-30 ani. Ceia ce în consecință a dus la inducerea stresului termic în plante, afectându-le funcțiile biologice, lipsa polenizării și scăderea procesului de fotosinteză.</w:t>
            </w:r>
          </w:p>
          <w:p w:rsidR="00292353" w:rsidRPr="007002B9" w:rsidRDefault="00292353" w:rsidP="00292353">
            <w:pPr>
              <w:spacing w:after="0" w:line="240" w:lineRule="auto"/>
              <w:ind w:firstLine="452"/>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Rezervele joase de umezeală productivă în sol, semnalate pe parcursul anului, au determinat apariția secetei atmosferice și pedologice în cea mai mare parte a teritoriului țării, cu excepția unor localități sau câmpuri din raioanelor extreme de nord și izolat a unor raioane din centrul țării. Coeficientul hidrotermic care caracterizează gradul de umezire a teritoriului în raport cu temperatura înregistrată, în medie pentru țară în luna iulie a constituit 0,5, ceea ce corespunde unei secete foarte severe.</w:t>
            </w:r>
          </w:p>
          <w:p w:rsidR="00292353" w:rsidRPr="007002B9" w:rsidRDefault="00292353" w:rsidP="00292353">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Conform dat</w:t>
            </w:r>
            <w:r w:rsidRPr="007002B9">
              <w:rPr>
                <w:rFonts w:ascii="Times New Roman" w:eastAsia="Times New Roman" w:hAnsi="Times New Roman" w:cs="Times New Roman"/>
                <w:color w:val="000000"/>
                <w:sz w:val="24"/>
                <w:szCs w:val="24"/>
                <w:lang w:eastAsia="ru-RU"/>
              </w:rPr>
              <w:t>elor</w:t>
            </w:r>
            <w:r w:rsidR="00597818" w:rsidRPr="007002B9">
              <w:rPr>
                <w:rFonts w:ascii="Times New Roman" w:eastAsia="Times New Roman" w:hAnsi="Times New Roman" w:cs="Times New Roman"/>
                <w:color w:val="000000"/>
                <w:sz w:val="24"/>
                <w:szCs w:val="24"/>
                <w:lang w:eastAsia="ru-RU"/>
              </w:rPr>
              <w:t xml:space="preserve"> </w:t>
            </w:r>
            <w:r w:rsidR="00597818" w:rsidRPr="007002B9">
              <w:rPr>
                <w:rFonts w:ascii="Times New Roman" w:eastAsia="Times New Roman" w:hAnsi="Times New Roman" w:cs="Times New Roman"/>
                <w:color w:val="000000"/>
                <w:sz w:val="24"/>
                <w:szCs w:val="24"/>
                <w:lang w:val="ro-MD" w:eastAsia="ru-RU"/>
              </w:rPr>
              <w:t>preliminare</w:t>
            </w:r>
            <w:r w:rsidRPr="007002B9">
              <w:rPr>
                <w:rFonts w:ascii="Times New Roman" w:eastAsia="Times New Roman" w:hAnsi="Times New Roman" w:cs="Times New Roman"/>
                <w:color w:val="000000"/>
                <w:sz w:val="24"/>
                <w:szCs w:val="24"/>
                <w:lang w:eastAsia="ru-RU"/>
              </w:rPr>
              <w:t xml:space="preserve"> furnizate de Subdiviziunile teritoriale responsabile de domeniul agricol</w:t>
            </w:r>
            <w:r w:rsidR="00597818" w:rsidRPr="007002B9">
              <w:rPr>
                <w:rFonts w:ascii="Times New Roman" w:eastAsia="Times New Roman" w:hAnsi="Times New Roman" w:cs="Times New Roman"/>
                <w:color w:val="000000"/>
                <w:sz w:val="24"/>
                <w:szCs w:val="24"/>
                <w:lang w:val="ro-MD" w:eastAsia="ru-RU"/>
              </w:rPr>
              <w:t>,</w:t>
            </w:r>
            <w:r w:rsidRPr="007002B9">
              <w:rPr>
                <w:rFonts w:ascii="Times New Roman" w:eastAsia="Times New Roman" w:hAnsi="Times New Roman" w:cs="Times New Roman"/>
                <w:color w:val="000000"/>
                <w:sz w:val="24"/>
                <w:szCs w:val="24"/>
                <w:lang w:val="ro-MD" w:eastAsia="ru-RU"/>
              </w:rPr>
              <w:t xml:space="preserve"> peste 80% din afectări sunt înregistrate pe motiv de secetă. Totodată este de menționat că cele mai afectate culturi din cauza secetei, sunt porumbul și grâul , care nemijlocit sunt prezente în suprafețe mari în cadrul exploatațiilor agricole.</w:t>
            </w:r>
          </w:p>
          <w:p w:rsidR="00597818" w:rsidRPr="007002B9" w:rsidRDefault="00182F70" w:rsidP="00597818">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În prezent, </w:t>
            </w:r>
            <w:r w:rsidR="000F1049" w:rsidRPr="007002B9">
              <w:rPr>
                <w:rFonts w:ascii="Times New Roman" w:eastAsia="Times New Roman" w:hAnsi="Times New Roman" w:cs="Times New Roman"/>
                <w:color w:val="000000"/>
                <w:sz w:val="24"/>
                <w:szCs w:val="24"/>
                <w:lang w:val="ro-MD" w:eastAsia="ru-RU"/>
              </w:rPr>
              <w:t>reieșind din faptul că, potrivit datelor din teritoriu cea mai afectată cultură</w:t>
            </w:r>
            <w:r w:rsidR="00597818" w:rsidRPr="007002B9">
              <w:rPr>
                <w:rFonts w:ascii="Times New Roman" w:eastAsia="Times New Roman" w:hAnsi="Times New Roman" w:cs="Times New Roman"/>
                <w:color w:val="000000"/>
                <w:sz w:val="24"/>
                <w:szCs w:val="24"/>
                <w:lang w:val="ro-MD" w:eastAsia="ru-RU"/>
              </w:rPr>
              <w:t xml:space="preserve"> în urma secetei severe ce a avut loc în perioada iunie-august 2024 </w:t>
            </w:r>
            <w:r w:rsidR="000F1049" w:rsidRPr="007002B9">
              <w:rPr>
                <w:rFonts w:ascii="Times New Roman" w:eastAsia="Times New Roman" w:hAnsi="Times New Roman" w:cs="Times New Roman"/>
                <w:color w:val="000000"/>
                <w:sz w:val="24"/>
                <w:szCs w:val="24"/>
                <w:lang w:val="ro-MD" w:eastAsia="ru-RU"/>
              </w:rPr>
              <w:t>a fost cea de porumb și grâu</w:t>
            </w:r>
            <w:r w:rsidR="00597818" w:rsidRPr="007002B9">
              <w:rPr>
                <w:rFonts w:ascii="Times New Roman" w:eastAsia="Times New Roman" w:hAnsi="Times New Roman" w:cs="Times New Roman"/>
                <w:color w:val="000000"/>
                <w:sz w:val="24"/>
                <w:szCs w:val="24"/>
                <w:lang w:val="ro-MD" w:eastAsia="ru-RU"/>
              </w:rPr>
              <w:t>, care nemijlocit sunt prezente în suprafețe mari în cadrul exploatațiilor agricole, iar</w:t>
            </w:r>
            <w:r w:rsidR="000F1049" w:rsidRPr="007002B9">
              <w:rPr>
                <w:rFonts w:ascii="Times New Roman" w:eastAsia="Times New Roman" w:hAnsi="Times New Roman" w:cs="Times New Roman"/>
                <w:color w:val="000000"/>
                <w:sz w:val="24"/>
                <w:szCs w:val="24"/>
                <w:lang w:val="ro-MD" w:eastAsia="ru-RU"/>
              </w:rPr>
              <w:t xml:space="preserve"> o parte din producătorii agricoli au rămas fără surse de dezvoltare a afacerilor în continuare. Aceasta pune sub pericol existența economică a fermelor agricole în perioada imediat următoare și conduce la asimilarea procedurilor de dezvoltare necompetitive. Gestiunea reușită a crizelor economice provocate în sistemul economiei naționale este una din prioritățile instituțiilor publice centrale. Identificarea măsurilor de gestionare a acestor crize provocate mediului de afaceri sunt parte a acțiunilor Guvernului în vederea asigurării echilibrului economico-social ale regiunilor afectate.</w:t>
            </w:r>
          </w:p>
          <w:p w:rsidR="007816FB" w:rsidRDefault="00C026B0" w:rsidP="00597818">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Conform informațiilor </w:t>
            </w:r>
            <w:r w:rsidR="00D80DCA">
              <w:rPr>
                <w:rFonts w:ascii="Times New Roman" w:eastAsia="Times New Roman" w:hAnsi="Times New Roman" w:cs="Times New Roman"/>
                <w:color w:val="000000"/>
                <w:sz w:val="24"/>
                <w:szCs w:val="24"/>
                <w:lang w:val="ro-MD" w:eastAsia="ru-RU"/>
              </w:rPr>
              <w:t>operative curente</w:t>
            </w:r>
            <w:r w:rsidRPr="007002B9">
              <w:rPr>
                <w:rFonts w:ascii="Times New Roman" w:eastAsia="Times New Roman" w:hAnsi="Times New Roman" w:cs="Times New Roman"/>
                <w:color w:val="000000"/>
                <w:sz w:val="24"/>
                <w:szCs w:val="24"/>
                <w:lang w:val="ro-MD" w:eastAsia="ru-RU"/>
              </w:rPr>
              <w:t>, în anul 2024</w:t>
            </w:r>
            <w:r w:rsidR="00597818" w:rsidRPr="007002B9">
              <w:rPr>
                <w:rFonts w:ascii="Times New Roman" w:eastAsia="Times New Roman" w:hAnsi="Times New Roman" w:cs="Times New Roman"/>
                <w:color w:val="000000"/>
                <w:sz w:val="24"/>
                <w:szCs w:val="24"/>
                <w:lang w:val="ro-MD" w:eastAsia="ru-RU"/>
              </w:rPr>
              <w:t xml:space="preserve"> au fost înregistrate peste 6000</w:t>
            </w:r>
            <w:r w:rsidRPr="007002B9">
              <w:rPr>
                <w:rFonts w:ascii="Times New Roman" w:eastAsia="Times New Roman" w:hAnsi="Times New Roman" w:cs="Times New Roman"/>
                <w:color w:val="000000"/>
                <w:sz w:val="24"/>
                <w:szCs w:val="24"/>
                <w:lang w:val="ro-MD" w:eastAsia="ru-RU"/>
              </w:rPr>
              <w:t xml:space="preserve"> de acte de constatare a pagubelor cauzate culturilor agricole de calamitățile naturale înregistrate de agenții economici pe tot teritoriul țării. </w:t>
            </w:r>
            <w:r w:rsidRPr="007002B9">
              <w:rPr>
                <w:rFonts w:ascii="Times New Roman" w:eastAsia="Times New Roman" w:hAnsi="Times New Roman" w:cs="Times New Roman"/>
                <w:color w:val="000000"/>
                <w:sz w:val="24"/>
                <w:szCs w:val="24"/>
                <w:lang w:val="ro-MD" w:eastAsia="ru-RU"/>
              </w:rPr>
              <w:lastRenderedPageBreak/>
              <w:t>Genul calamităților înregistrate se referă la înghețuri, ploi torențiale, grindină și secetă și reiese din prevederile pct. 4 și 5 al Regulamentului cu privire la clasificarea situaţiilor excepţionale şi la modul de acumulare şi prezentare a informaţiilor în domeniul protecţiei populaţiei şi teritoriului în caz de situaţii excepţionale aprobat prin Hotărârea de Guvern nr.1076/2010 cu privire la clasificarea situaţiilor excepţionale şi la modul de acumulare şi prezentare a informaţiilor în domeniul protecţiei populaţiei şi teritoriului în caz de situaţii excepţionale. Din numărul de acte de c</w:t>
            </w:r>
            <w:r w:rsidR="002A134A" w:rsidRPr="007002B9">
              <w:rPr>
                <w:rFonts w:ascii="Times New Roman" w:eastAsia="Times New Roman" w:hAnsi="Times New Roman" w:cs="Times New Roman"/>
                <w:color w:val="000000"/>
                <w:sz w:val="24"/>
                <w:szCs w:val="24"/>
                <w:lang w:val="ro-MD" w:eastAsia="ru-RU"/>
              </w:rPr>
              <w:t>onstatare a pagubelor peste 5000</w:t>
            </w:r>
            <w:r w:rsidRPr="007002B9">
              <w:rPr>
                <w:rFonts w:ascii="Times New Roman" w:eastAsia="Times New Roman" w:hAnsi="Times New Roman" w:cs="Times New Roman"/>
                <w:color w:val="000000"/>
                <w:sz w:val="24"/>
                <w:szCs w:val="24"/>
                <w:lang w:val="ro-MD" w:eastAsia="ru-RU"/>
              </w:rPr>
              <w:t xml:space="preserve"> dintre ele au fost ca urmare a secetei și arșiței</w:t>
            </w:r>
            <w:r w:rsidR="00D80DCA">
              <w:rPr>
                <w:rFonts w:ascii="Times New Roman" w:eastAsia="Times New Roman" w:hAnsi="Times New Roman" w:cs="Times New Roman"/>
                <w:color w:val="000000"/>
                <w:sz w:val="24"/>
                <w:szCs w:val="24"/>
                <w:lang w:val="ro-MD" w:eastAsia="ru-RU"/>
              </w:rPr>
              <w:t>,</w:t>
            </w:r>
            <w:r w:rsidRPr="007002B9">
              <w:rPr>
                <w:rFonts w:ascii="Times New Roman" w:eastAsia="Times New Roman" w:hAnsi="Times New Roman" w:cs="Times New Roman"/>
                <w:color w:val="000000"/>
                <w:sz w:val="24"/>
                <w:szCs w:val="24"/>
                <w:lang w:val="ro-MD" w:eastAsia="ru-RU"/>
              </w:rPr>
              <w:t xml:space="preserve"> iar </w:t>
            </w:r>
            <w:r w:rsidR="00D80DCA">
              <w:rPr>
                <w:rFonts w:ascii="Times New Roman" w:eastAsia="Times New Roman" w:hAnsi="Times New Roman" w:cs="Times New Roman"/>
                <w:color w:val="000000"/>
                <w:sz w:val="24"/>
                <w:szCs w:val="24"/>
                <w:lang w:val="ro-MD" w:eastAsia="ru-RU"/>
              </w:rPr>
              <w:t xml:space="preserve">urmare a </w:t>
            </w:r>
            <w:r w:rsidR="002A134A" w:rsidRPr="007002B9">
              <w:rPr>
                <w:rFonts w:ascii="Times New Roman" w:eastAsia="Times New Roman" w:hAnsi="Times New Roman" w:cs="Times New Roman"/>
                <w:color w:val="000000"/>
                <w:sz w:val="24"/>
                <w:szCs w:val="24"/>
                <w:lang w:val="ro-MD" w:eastAsia="ru-RU"/>
              </w:rPr>
              <w:t>ploi</w:t>
            </w:r>
            <w:r w:rsidR="00D80DCA">
              <w:rPr>
                <w:rFonts w:ascii="Times New Roman" w:eastAsia="Times New Roman" w:hAnsi="Times New Roman" w:cs="Times New Roman"/>
                <w:color w:val="000000"/>
                <w:sz w:val="24"/>
                <w:szCs w:val="24"/>
                <w:lang w:val="ro-MD" w:eastAsia="ru-RU"/>
              </w:rPr>
              <w:t>lor cu</w:t>
            </w:r>
            <w:r w:rsidR="002A134A" w:rsidRPr="007002B9">
              <w:rPr>
                <w:rFonts w:ascii="Times New Roman" w:eastAsia="Times New Roman" w:hAnsi="Times New Roman" w:cs="Times New Roman"/>
                <w:color w:val="000000"/>
                <w:sz w:val="24"/>
                <w:szCs w:val="24"/>
                <w:lang w:val="ro-MD" w:eastAsia="ru-RU"/>
              </w:rPr>
              <w:t xml:space="preserve"> grindină – peste 400</w:t>
            </w:r>
            <w:r w:rsidRPr="007002B9">
              <w:rPr>
                <w:rFonts w:ascii="Times New Roman" w:eastAsia="Times New Roman" w:hAnsi="Times New Roman" w:cs="Times New Roman"/>
                <w:color w:val="000000"/>
                <w:sz w:val="24"/>
                <w:szCs w:val="24"/>
                <w:lang w:val="ro-MD" w:eastAsia="ru-RU"/>
              </w:rPr>
              <w:t xml:space="preserve"> de acte</w:t>
            </w:r>
            <w:r w:rsidR="007816FB">
              <w:rPr>
                <w:rFonts w:ascii="Times New Roman" w:eastAsia="Times New Roman" w:hAnsi="Times New Roman" w:cs="Times New Roman"/>
                <w:color w:val="000000"/>
                <w:sz w:val="24"/>
                <w:szCs w:val="24"/>
                <w:lang w:eastAsia="ru-RU"/>
              </w:rPr>
              <w:t xml:space="preserve">. </w:t>
            </w:r>
            <w:r w:rsidR="007816FB" w:rsidRPr="007816FB">
              <w:rPr>
                <w:rFonts w:ascii="Times New Roman" w:eastAsia="Times New Roman" w:hAnsi="Times New Roman" w:cs="Times New Roman"/>
                <w:color w:val="000000"/>
                <w:sz w:val="24"/>
                <w:szCs w:val="24"/>
                <w:lang w:eastAsia="ru-RU"/>
              </w:rPr>
              <w:t>Analiza detaliată a suprafețelor afectate, a culturilor și a pierderilor suferite a co</w:t>
            </w:r>
            <w:r w:rsidR="007816FB">
              <w:rPr>
                <w:rFonts w:ascii="Times New Roman" w:eastAsia="Times New Roman" w:hAnsi="Times New Roman" w:cs="Times New Roman"/>
                <w:color w:val="000000"/>
                <w:sz w:val="24"/>
                <w:szCs w:val="24"/>
                <w:lang w:eastAsia="ru-RU"/>
              </w:rPr>
              <w:t>ndus la decizia de a aloca ajutor financiar</w:t>
            </w:r>
            <w:r w:rsidR="007816FB" w:rsidRPr="007816FB">
              <w:rPr>
                <w:rFonts w:ascii="Times New Roman" w:eastAsia="Times New Roman" w:hAnsi="Times New Roman" w:cs="Times New Roman"/>
                <w:color w:val="000000"/>
                <w:sz w:val="24"/>
                <w:szCs w:val="24"/>
                <w:lang w:eastAsia="ru-RU"/>
              </w:rPr>
              <w:t xml:space="preserve"> pentru porumb și grâu. Având în vedere rolul esențial pe care aceste culturi îl au în asigurarea</w:t>
            </w:r>
            <w:r w:rsidR="007816FB">
              <w:rPr>
                <w:rFonts w:ascii="Times New Roman" w:eastAsia="Times New Roman" w:hAnsi="Times New Roman" w:cs="Times New Roman"/>
                <w:color w:val="000000"/>
                <w:sz w:val="24"/>
                <w:szCs w:val="24"/>
                <w:lang w:eastAsia="ru-RU"/>
              </w:rPr>
              <w:t xml:space="preserve"> securității alimentare a țării.</w:t>
            </w:r>
          </w:p>
          <w:p w:rsidR="00597818" w:rsidRPr="007002B9" w:rsidRDefault="00E02592" w:rsidP="00597818">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Conform datelor furnizate în termen, din suprafața totală afectat</w:t>
            </w:r>
            <w:r w:rsidR="002A134A" w:rsidRPr="007002B9">
              <w:rPr>
                <w:rFonts w:ascii="Times New Roman" w:eastAsia="Times New Roman" w:hAnsi="Times New Roman" w:cs="Times New Roman"/>
                <w:color w:val="000000"/>
                <w:sz w:val="24"/>
                <w:szCs w:val="24"/>
                <w:lang w:val="ro-MD" w:eastAsia="ru-RU"/>
              </w:rPr>
              <w:t>ă de seceta din 2024, peste 121</w:t>
            </w:r>
            <w:r w:rsidRPr="007002B9">
              <w:rPr>
                <w:rFonts w:ascii="Times New Roman" w:eastAsia="Times New Roman" w:hAnsi="Times New Roman" w:cs="Times New Roman"/>
                <w:color w:val="000000"/>
                <w:sz w:val="24"/>
                <w:szCs w:val="24"/>
                <w:lang w:val="ro-MD" w:eastAsia="ru-RU"/>
              </w:rPr>
              <w:t xml:space="preserve"> m</w:t>
            </w:r>
            <w:r w:rsidR="002A134A" w:rsidRPr="007002B9">
              <w:rPr>
                <w:rFonts w:ascii="Times New Roman" w:eastAsia="Times New Roman" w:hAnsi="Times New Roman" w:cs="Times New Roman"/>
                <w:color w:val="000000"/>
                <w:sz w:val="24"/>
                <w:szCs w:val="24"/>
                <w:lang w:val="ro-MD" w:eastAsia="ru-RU"/>
              </w:rPr>
              <w:t>ii hectare de porumb și peste 39</w:t>
            </w:r>
            <w:r w:rsidRPr="007002B9">
              <w:rPr>
                <w:rFonts w:ascii="Times New Roman" w:eastAsia="Times New Roman" w:hAnsi="Times New Roman" w:cs="Times New Roman"/>
                <w:color w:val="000000"/>
                <w:sz w:val="24"/>
                <w:szCs w:val="24"/>
                <w:lang w:val="ro-MD" w:eastAsia="ru-RU"/>
              </w:rPr>
              <w:t xml:space="preserve"> mii hectare de grâu au suferit pierderi semnificative. În majoritatea cazurilor, gradul de afectare a acestor culturi depășind 70%.</w:t>
            </w:r>
          </w:p>
          <w:p w:rsidR="00ED0679" w:rsidRPr="007002B9" w:rsidRDefault="00E02592" w:rsidP="00597818">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Beneficiarii sprijinului financiar vor fi acei fermieri a căror recoltă de porumb a fost compromisă în proporție de 60% sau mai mult, și a căror recoltă de grâu a suferit pierderi de 70% sau mai mult, conform actelor de constatare emise de autoritățile competente. Acest sprijin financiar este esențial pentru a asigura supraviețuirea fermelor agricole și pentru a preveni colapsul economic al regiunilor rurale afectate, oferindu-le fermierilor resursele necesare pentru a se redresa și a continua activitatea în sezonul următor.</w:t>
            </w:r>
          </w:p>
          <w:p w:rsidR="00ED0679" w:rsidRPr="007002B9" w:rsidRDefault="00ED0679" w:rsidP="00522B88">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Procedura de întocmire a actelor de constatare a suprafețelor afectate e este descrisă în </w:t>
            </w:r>
            <w:r w:rsidRPr="007002B9">
              <w:rPr>
                <w:rFonts w:ascii="Times New Roman" w:eastAsia="Times New Roman" w:hAnsi="Times New Roman" w:cs="Times New Roman"/>
                <w:color w:val="000000"/>
                <w:sz w:val="24"/>
                <w:szCs w:val="24"/>
                <w:lang w:eastAsia="ru-RU"/>
              </w:rPr>
              <w:t xml:space="preserve">Ordinului comun </w:t>
            </w:r>
            <w:r w:rsidR="00522B88" w:rsidRPr="007002B9">
              <w:rPr>
                <w:rFonts w:ascii="Times New Roman" w:eastAsia="Times New Roman" w:hAnsi="Times New Roman" w:cs="Times New Roman"/>
                <w:color w:val="000000"/>
                <w:sz w:val="24"/>
                <w:szCs w:val="24"/>
                <w:lang w:val="ro-MD" w:eastAsia="ru-RU"/>
              </w:rPr>
              <w:t>al Ministerului Agriculturii și Industriei Alimentare și Ministerul Afacerilor Interne</w:t>
            </w:r>
            <w:r w:rsidRPr="007002B9">
              <w:rPr>
                <w:rFonts w:ascii="Times New Roman" w:eastAsia="Times New Roman" w:hAnsi="Times New Roman" w:cs="Times New Roman"/>
                <w:color w:val="000000"/>
                <w:sz w:val="24"/>
                <w:szCs w:val="24"/>
                <w:lang w:eastAsia="ru-RU"/>
              </w:rPr>
              <w:t xml:space="preserve"> nr. 49/150 din 25 martie 2024 cu privire la aprobarea Îndrumarului metodic pentru evaluarea gradului de afectare a culturilor agricole urmare a situațiilor excepționale cu caracter natural</w:t>
            </w:r>
            <w:r w:rsidR="00522B88" w:rsidRPr="007002B9">
              <w:rPr>
                <w:rFonts w:ascii="Times New Roman" w:eastAsia="Times New Roman" w:hAnsi="Times New Roman" w:cs="Times New Roman"/>
                <w:color w:val="000000"/>
                <w:sz w:val="24"/>
                <w:szCs w:val="24"/>
                <w:lang w:val="ro-MD" w:eastAsia="ru-RU"/>
              </w:rPr>
              <w:t>. O</w:t>
            </w:r>
            <w:r w:rsidRPr="007002B9">
              <w:rPr>
                <w:rFonts w:ascii="Times New Roman" w:eastAsia="Times New Roman" w:hAnsi="Times New Roman" w:cs="Times New Roman"/>
                <w:color w:val="000000"/>
                <w:sz w:val="24"/>
                <w:szCs w:val="24"/>
                <w:lang w:val="ro-MD" w:eastAsia="ru-RU"/>
              </w:rPr>
              <w:t xml:space="preserve">rganele centrale de specialitate ale administrației publice și autoritățile administrației publice locale, în comun cu organele teritoriale ale Inspectoratului General pentru Situații de Urgență al </w:t>
            </w:r>
            <w:r w:rsidR="00522B88" w:rsidRPr="007002B9">
              <w:rPr>
                <w:rFonts w:ascii="Times New Roman" w:eastAsia="Times New Roman" w:hAnsi="Times New Roman" w:cs="Times New Roman"/>
                <w:color w:val="000000"/>
                <w:sz w:val="24"/>
                <w:szCs w:val="24"/>
                <w:lang w:val="ro-MD" w:eastAsia="ru-RU"/>
              </w:rPr>
              <w:t xml:space="preserve">Ministerului Afacerilor Interne </w:t>
            </w:r>
            <w:r w:rsidRPr="007002B9">
              <w:rPr>
                <w:rFonts w:ascii="Times New Roman" w:eastAsia="Times New Roman" w:hAnsi="Times New Roman" w:cs="Times New Roman"/>
                <w:color w:val="000000"/>
                <w:sz w:val="24"/>
                <w:szCs w:val="24"/>
                <w:lang w:val="ro-MD" w:eastAsia="ru-RU"/>
              </w:rPr>
              <w:t xml:space="preserve">realizează în modul stabilit colectarea și prelucrarea informației despre situațiile excepționale care au fost înregistrate în urma intemperiilor care au afectat culturile agricole. </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lastRenderedPageBreak/>
              <w:t>3. Obiectivele urmărite şi soluţiile propuse</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A298B">
            <w:p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3.1. Principalele prevederi ale proiectului şi evidenţierea elementelor noi</w:t>
            </w:r>
          </w:p>
          <w:p w:rsidR="002A134A" w:rsidRPr="007002B9" w:rsidRDefault="002A134A" w:rsidP="002A134A">
            <w:pPr>
              <w:spacing w:after="0" w:line="240" w:lineRule="auto"/>
              <w:ind w:firstLine="452"/>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Proiectul de h</w:t>
            </w:r>
            <w:r w:rsidR="006A298B" w:rsidRPr="007002B9">
              <w:rPr>
                <w:rFonts w:ascii="Times New Roman" w:eastAsia="Times New Roman" w:hAnsi="Times New Roman" w:cs="Times New Roman"/>
                <w:color w:val="000000"/>
                <w:sz w:val="24"/>
                <w:szCs w:val="24"/>
                <w:lang w:eastAsia="ru-RU"/>
              </w:rPr>
              <w:t xml:space="preserve">otărâre a Guvernului </w:t>
            </w:r>
            <w:r w:rsidRPr="007002B9">
              <w:rPr>
                <w:rFonts w:ascii="Times New Roman" w:eastAsia="Times New Roman" w:hAnsi="Times New Roman" w:cs="Times New Roman"/>
                <w:bCs/>
                <w:color w:val="000000"/>
                <w:sz w:val="24"/>
                <w:szCs w:val="24"/>
                <w:lang w:eastAsia="ru-RU"/>
              </w:rPr>
              <w:t xml:space="preserve">pentru aprobarea Regulamentului </w:t>
            </w:r>
            <w:r w:rsidRPr="007002B9">
              <w:rPr>
                <w:rFonts w:ascii="Times New Roman" w:eastAsia="Times New Roman" w:hAnsi="Times New Roman" w:cs="Times New Roman"/>
                <w:bCs/>
                <w:color w:val="000000"/>
                <w:sz w:val="24"/>
                <w:szCs w:val="24"/>
                <w:lang w:val="en-US" w:eastAsia="ru-RU"/>
              </w:rPr>
              <w:t xml:space="preserve">cu privire la stabilirea modului de acordare a ajutorului pentru fermierii afectaţi de </w:t>
            </w:r>
            <w:r w:rsidRPr="007002B9">
              <w:rPr>
                <w:rFonts w:ascii="Times New Roman" w:eastAsia="Times New Roman" w:hAnsi="Times New Roman" w:cs="Times New Roman"/>
                <w:bCs/>
                <w:color w:val="000000"/>
                <w:sz w:val="24"/>
                <w:szCs w:val="24"/>
                <w:lang w:eastAsia="ru-RU"/>
              </w:rPr>
              <w:t xml:space="preserve">situațiile excepționale cu caracter natural „Secetă” și „Arșiță puternică” din anul 2024 la grâu și porumb, </w:t>
            </w:r>
            <w:r w:rsidRPr="007002B9">
              <w:rPr>
                <w:rFonts w:ascii="Times New Roman" w:eastAsia="Times New Roman" w:hAnsi="Times New Roman" w:cs="Times New Roman"/>
                <w:color w:val="000000"/>
                <w:sz w:val="24"/>
                <w:szCs w:val="24"/>
                <w:lang w:eastAsia="ru-RU"/>
              </w:rPr>
              <w:t>stabilește modul de calculare și acordare a ajutorului financiar, destinat compensației pierderilor suferite d</w:t>
            </w:r>
            <w:r w:rsidR="007816FB">
              <w:rPr>
                <w:rFonts w:ascii="Times New Roman" w:eastAsia="Times New Roman" w:hAnsi="Times New Roman" w:cs="Times New Roman"/>
                <w:color w:val="000000"/>
                <w:sz w:val="24"/>
                <w:szCs w:val="24"/>
                <w:lang w:eastAsia="ru-RU"/>
              </w:rPr>
              <w:t xml:space="preserve">in cauza secetei din anul 2024 </w:t>
            </w:r>
            <w:r w:rsidRPr="007002B9">
              <w:rPr>
                <w:rFonts w:ascii="Times New Roman" w:eastAsia="Times New Roman" w:hAnsi="Times New Roman" w:cs="Times New Roman"/>
                <w:color w:val="000000"/>
                <w:sz w:val="24"/>
                <w:szCs w:val="24"/>
                <w:lang w:eastAsia="ru-RU"/>
              </w:rPr>
              <w:t>la culturile de porumb și grâu, precum și criteriile de eligibilitate și procedurile administrative necesare pentru accesarea acestui sprijin.</w:t>
            </w:r>
          </w:p>
          <w:p w:rsidR="00ED0679" w:rsidRPr="007002B9" w:rsidRDefault="004A16BC" w:rsidP="002A134A">
            <w:pPr>
              <w:spacing w:after="0" w:line="240" w:lineRule="auto"/>
              <w:ind w:firstLine="452"/>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 xml:space="preserve">Proiectul </w:t>
            </w:r>
            <w:r w:rsidR="007816FB">
              <w:rPr>
                <w:rFonts w:ascii="Times New Roman" w:eastAsia="Times New Roman" w:hAnsi="Times New Roman" w:cs="Times New Roman"/>
                <w:color w:val="000000"/>
                <w:sz w:val="24"/>
                <w:szCs w:val="24"/>
                <w:lang w:eastAsia="ru-RU"/>
              </w:rPr>
              <w:t>stabilește condițiile și criteriile</w:t>
            </w:r>
            <w:r w:rsidRPr="007002B9">
              <w:rPr>
                <w:rFonts w:ascii="Times New Roman" w:eastAsia="Times New Roman" w:hAnsi="Times New Roman" w:cs="Times New Roman"/>
                <w:color w:val="000000"/>
                <w:sz w:val="24"/>
                <w:szCs w:val="24"/>
                <w:lang w:eastAsia="ru-RU"/>
              </w:rPr>
              <w:t xml:space="preserve"> pentru acordarea ajutorului financiar fermierilor afectați de secetă și alte calamități naturale în 2024. Ajutorul se acordă prin intermediul Agenției de Intervenție și Plăți pentru Agricultură (AIP</w:t>
            </w:r>
            <w:r w:rsidR="007816FB">
              <w:rPr>
                <w:rFonts w:ascii="Times New Roman" w:eastAsia="Times New Roman" w:hAnsi="Times New Roman" w:cs="Times New Roman"/>
                <w:color w:val="000000"/>
                <w:sz w:val="24"/>
                <w:szCs w:val="24"/>
                <w:lang w:eastAsia="ru-RU"/>
              </w:rPr>
              <w:t xml:space="preserve">A) </w:t>
            </w:r>
            <w:r w:rsidRPr="007002B9">
              <w:rPr>
                <w:rFonts w:ascii="Times New Roman" w:eastAsia="Times New Roman" w:hAnsi="Times New Roman" w:cs="Times New Roman"/>
                <w:color w:val="000000"/>
                <w:sz w:val="24"/>
                <w:szCs w:val="24"/>
                <w:lang w:eastAsia="ru-RU"/>
              </w:rPr>
              <w:t xml:space="preserve">și este destinat celor care au suferit pierderi de cel puțin 60% la porumb sau 70% la grâu. Valoarea </w:t>
            </w:r>
            <w:r w:rsidR="00ED0679" w:rsidRPr="007002B9">
              <w:rPr>
                <w:rFonts w:ascii="Times New Roman" w:eastAsia="Times New Roman" w:hAnsi="Times New Roman" w:cs="Times New Roman"/>
                <w:color w:val="000000"/>
                <w:sz w:val="24"/>
                <w:szCs w:val="24"/>
                <w:lang w:eastAsia="ru-RU"/>
              </w:rPr>
              <w:t xml:space="preserve">maximă a ajutorului este de 500 </w:t>
            </w:r>
            <w:r w:rsidRPr="007002B9">
              <w:rPr>
                <w:rFonts w:ascii="Times New Roman" w:eastAsia="Times New Roman" w:hAnsi="Times New Roman" w:cs="Times New Roman"/>
                <w:color w:val="000000"/>
                <w:sz w:val="24"/>
                <w:szCs w:val="24"/>
                <w:lang w:eastAsia="ru-RU"/>
              </w:rPr>
              <w:t>000 lei per solicitant, cu un plafon cumulativ</w:t>
            </w:r>
            <w:r w:rsidR="00ED0679" w:rsidRPr="007002B9">
              <w:rPr>
                <w:rFonts w:ascii="Times New Roman" w:eastAsia="Times New Roman" w:hAnsi="Times New Roman" w:cs="Times New Roman"/>
                <w:color w:val="000000"/>
                <w:sz w:val="24"/>
                <w:szCs w:val="24"/>
                <w:lang w:eastAsia="ru-RU"/>
              </w:rPr>
              <w:t xml:space="preserve"> pentru ajutorul acordat în 2024 de 1.000.000 lei, inclusiv din ajutorul primit pentru compensarea parțială a prejudiciilor cauzate de calamități naturale în anul 2023, conform Hotărârii de Guvern nr. 102/2024.</w:t>
            </w:r>
          </w:p>
          <w:p w:rsidR="004A16BC" w:rsidRPr="007002B9" w:rsidRDefault="00ED0679" w:rsidP="002A134A">
            <w:pPr>
              <w:spacing w:after="0" w:line="240" w:lineRule="auto"/>
              <w:ind w:firstLine="452"/>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Terenurile agricole situate în perimetrul sistemelor de irigații active</w:t>
            </w:r>
            <w:r w:rsidR="004A16BC" w:rsidRPr="007002B9">
              <w:rPr>
                <w:rFonts w:ascii="Times New Roman" w:eastAsia="Times New Roman" w:hAnsi="Times New Roman" w:cs="Times New Roman"/>
                <w:color w:val="000000"/>
                <w:sz w:val="24"/>
                <w:szCs w:val="24"/>
                <w:lang w:eastAsia="ru-RU"/>
              </w:rPr>
              <w:t xml:space="preserve"> sau asigurate subvenționat nu sunt eligibile</w:t>
            </w:r>
            <w:r w:rsidRPr="007002B9">
              <w:rPr>
                <w:rFonts w:ascii="Times New Roman" w:eastAsia="Times New Roman" w:hAnsi="Times New Roman" w:cs="Times New Roman"/>
                <w:color w:val="000000"/>
                <w:sz w:val="24"/>
                <w:szCs w:val="24"/>
                <w:lang w:eastAsia="ru-RU"/>
              </w:rPr>
              <w:t xml:space="preserve"> pentru ajutor financiar.</w:t>
            </w:r>
          </w:p>
          <w:p w:rsidR="006A298B" w:rsidRPr="007002B9" w:rsidRDefault="006A298B" w:rsidP="002A134A">
            <w:pPr>
              <w:spacing w:after="0" w:line="240" w:lineRule="auto"/>
              <w:ind w:firstLine="452"/>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Pentru a fi eligibil acestui ajutor financiar, solicitanții trebuie să depună o cerere completată, însoți</w:t>
            </w:r>
            <w:r w:rsidR="007816FB">
              <w:rPr>
                <w:rFonts w:ascii="Times New Roman" w:eastAsia="Times New Roman" w:hAnsi="Times New Roman" w:cs="Times New Roman"/>
                <w:color w:val="000000"/>
                <w:sz w:val="24"/>
                <w:szCs w:val="24"/>
                <w:lang w:eastAsia="ru-RU"/>
              </w:rPr>
              <w:t>tă de documentele justificative</w:t>
            </w:r>
            <w:r w:rsidRPr="007002B9">
              <w:rPr>
                <w:rFonts w:ascii="Times New Roman" w:eastAsia="Times New Roman" w:hAnsi="Times New Roman" w:cs="Times New Roman"/>
                <w:color w:val="000000"/>
                <w:sz w:val="24"/>
                <w:szCs w:val="24"/>
                <w:lang w:eastAsia="ru-RU"/>
              </w:rPr>
              <w:t xml:space="preserve">. Cererea trebuie depusă personal de către solicitant sau de către reprezentantul său legal la subdiviziunea teritorială a </w:t>
            </w:r>
            <w:r w:rsidR="004A16BC" w:rsidRPr="007002B9">
              <w:rPr>
                <w:rFonts w:ascii="Times New Roman" w:eastAsia="Times New Roman" w:hAnsi="Times New Roman" w:cs="Times New Roman"/>
                <w:color w:val="000000"/>
                <w:sz w:val="24"/>
                <w:szCs w:val="24"/>
                <w:lang w:eastAsia="ru-RU"/>
              </w:rPr>
              <w:t xml:space="preserve">AIPA </w:t>
            </w:r>
            <w:r w:rsidRPr="007002B9">
              <w:rPr>
                <w:rFonts w:ascii="Times New Roman" w:eastAsia="Times New Roman" w:hAnsi="Times New Roman" w:cs="Times New Roman"/>
                <w:color w:val="000000"/>
                <w:sz w:val="24"/>
                <w:szCs w:val="24"/>
                <w:lang w:eastAsia="ru-RU"/>
              </w:rPr>
              <w:t>din zona în care fermierul își</w:t>
            </w:r>
            <w:r w:rsidR="004A16BC" w:rsidRPr="007002B9">
              <w:rPr>
                <w:rFonts w:ascii="Times New Roman" w:eastAsia="Times New Roman" w:hAnsi="Times New Roman" w:cs="Times New Roman"/>
                <w:color w:val="000000"/>
                <w:sz w:val="24"/>
                <w:szCs w:val="24"/>
                <w:lang w:eastAsia="ru-RU"/>
              </w:rPr>
              <w:t xml:space="preserve"> are viza de reședință</w:t>
            </w:r>
            <w:r w:rsidRPr="007002B9">
              <w:rPr>
                <w:rFonts w:ascii="Times New Roman" w:eastAsia="Times New Roman" w:hAnsi="Times New Roman" w:cs="Times New Roman"/>
                <w:color w:val="000000"/>
                <w:sz w:val="24"/>
                <w:szCs w:val="24"/>
                <w:lang w:eastAsia="ru-RU"/>
              </w:rPr>
              <w:t xml:space="preserve">. </w:t>
            </w:r>
            <w:r w:rsidR="007816FB">
              <w:rPr>
                <w:rFonts w:ascii="Times New Roman" w:eastAsia="Times New Roman" w:hAnsi="Times New Roman" w:cs="Times New Roman"/>
                <w:color w:val="000000"/>
                <w:sz w:val="24"/>
                <w:szCs w:val="24"/>
                <w:lang w:eastAsia="ru-RU"/>
              </w:rPr>
              <w:t>S</w:t>
            </w:r>
            <w:r w:rsidRPr="007002B9">
              <w:rPr>
                <w:rFonts w:ascii="Times New Roman" w:eastAsia="Times New Roman" w:hAnsi="Times New Roman" w:cs="Times New Roman"/>
                <w:color w:val="000000"/>
                <w:sz w:val="24"/>
                <w:szCs w:val="24"/>
                <w:lang w:eastAsia="ru-RU"/>
              </w:rPr>
              <w:t>olicitantul trebuie să asigure că toate documentele sunt complete și conforme, pentru a facilita procesul de evaluare și aprobare a cererii. Această procedură are rolul de a asigura transparența și corectitudinea alocării fondurilor, asigurând totodată sprijinul necesar fermierilor pentru a depăși dificultățile economice cauzate de secetă.</w:t>
            </w:r>
          </w:p>
          <w:p w:rsidR="006A298B" w:rsidRPr="007002B9" w:rsidRDefault="006A298B" w:rsidP="006A298B">
            <w:p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Obiectivele urmărite de proiect sunt următoarele:</w:t>
            </w:r>
          </w:p>
          <w:p w:rsidR="006A298B" w:rsidRPr="007002B9" w:rsidRDefault="006A298B" w:rsidP="006A298B">
            <w:pPr>
              <w:pStyle w:val="Listparagraf"/>
              <w:numPr>
                <w:ilvl w:val="0"/>
                <w:numId w:val="1"/>
              </w:num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Compensarea Pierderilor prin asigurarea unui sprijin financiar adecvat pentru fermierii afectați de seceta severă din 2024, în vederea compensării pierderilor suferite la culturile de porumb și grâu.</w:t>
            </w:r>
          </w:p>
          <w:p w:rsidR="006A298B" w:rsidRPr="007002B9" w:rsidRDefault="006A298B" w:rsidP="006A298B">
            <w:pPr>
              <w:pStyle w:val="Listparagraf"/>
              <w:numPr>
                <w:ilvl w:val="0"/>
                <w:numId w:val="1"/>
              </w:num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Menținerea stabilității economice a fermelor agricole și prevenirea colapsului economic în regiunile afectate prin furnizarea de resurse financiare necesare pentru continuarea activității.</w:t>
            </w:r>
          </w:p>
          <w:p w:rsidR="006A298B" w:rsidRPr="007002B9" w:rsidRDefault="006A298B" w:rsidP="006A298B">
            <w:pPr>
              <w:pStyle w:val="Listparagraf"/>
              <w:numPr>
                <w:ilvl w:val="0"/>
                <w:numId w:val="1"/>
              </w:num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Facilitarea redresării și relansării sectorului agricol afectat, prin alocarea de fonduri care să permită fermierilor să își recapitalizeze afacerile și să investească în echipamente și resurse pentru sezonul următor.</w:t>
            </w:r>
          </w:p>
          <w:p w:rsidR="00E02592" w:rsidRPr="007002B9" w:rsidRDefault="006A298B" w:rsidP="00F16D65">
            <w:pPr>
              <w:pStyle w:val="Listparagraf"/>
              <w:numPr>
                <w:ilvl w:val="0"/>
                <w:numId w:val="1"/>
              </w:num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lastRenderedPageBreak/>
              <w:t>Identificarea și implementarea măsurilor de prevenire și gestionare a crizelor climatice viitoare pentru a spori reziliența sectorului agricol.</w:t>
            </w:r>
          </w:p>
          <w:p w:rsidR="00012899" w:rsidRPr="007002B9" w:rsidRDefault="00012899" w:rsidP="00012899">
            <w:pPr>
              <w:pStyle w:val="Listparagraf"/>
              <w:spacing w:after="0" w:line="240" w:lineRule="auto"/>
              <w:ind w:left="27" w:firstLine="425"/>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Conform proiectului ajutorul pentru culturile de grâu și porumb afectate se calculează de Agenție pe baza suprafeței eligibile (S</w:t>
            </w:r>
            <w:r w:rsidRPr="007002B9">
              <w:rPr>
                <w:rFonts w:ascii="Times New Roman" w:eastAsia="Times New Roman" w:hAnsi="Times New Roman" w:cs="Times New Roman"/>
                <w:color w:val="000000"/>
                <w:sz w:val="24"/>
                <w:szCs w:val="24"/>
                <w:vertAlign w:val="subscript"/>
                <w:lang w:val="ro-MD" w:eastAsia="ru-RU"/>
              </w:rPr>
              <w:t>E</w:t>
            </w:r>
            <w:r w:rsidRPr="007002B9">
              <w:rPr>
                <w:rFonts w:ascii="Times New Roman" w:eastAsia="Times New Roman" w:hAnsi="Times New Roman" w:cs="Times New Roman"/>
                <w:color w:val="000000"/>
                <w:sz w:val="24"/>
                <w:szCs w:val="24"/>
                <w:lang w:val="ro-MD" w:eastAsia="ru-RU"/>
              </w:rPr>
              <w:t>) și a cuantumului ajutorului per hectar (C</w:t>
            </w:r>
            <w:r w:rsidRPr="007002B9">
              <w:rPr>
                <w:rFonts w:ascii="Times New Roman" w:eastAsia="Times New Roman" w:hAnsi="Times New Roman" w:cs="Times New Roman"/>
                <w:color w:val="000000"/>
                <w:sz w:val="24"/>
                <w:szCs w:val="24"/>
                <w:vertAlign w:val="subscript"/>
                <w:lang w:val="ro-MD" w:eastAsia="ru-RU"/>
              </w:rPr>
              <w:t>A</w:t>
            </w:r>
            <w:r w:rsidRPr="007002B9">
              <w:rPr>
                <w:rFonts w:ascii="Times New Roman" w:eastAsia="Times New Roman" w:hAnsi="Times New Roman" w:cs="Times New Roman"/>
                <w:color w:val="000000"/>
                <w:sz w:val="24"/>
                <w:szCs w:val="24"/>
                <w:lang w:val="ro-MD" w:eastAsia="ru-RU"/>
              </w:rPr>
              <w:t>). Formula este: M</w:t>
            </w:r>
            <w:r w:rsidRPr="007002B9">
              <w:rPr>
                <w:rFonts w:ascii="Times New Roman" w:eastAsia="Times New Roman" w:hAnsi="Times New Roman" w:cs="Times New Roman"/>
                <w:color w:val="000000"/>
                <w:sz w:val="24"/>
                <w:szCs w:val="24"/>
                <w:vertAlign w:val="subscript"/>
                <w:lang w:val="ro-MD" w:eastAsia="ru-RU"/>
              </w:rPr>
              <w:t>A</w:t>
            </w:r>
            <w:r w:rsidRPr="007002B9">
              <w:rPr>
                <w:rFonts w:ascii="Times New Roman" w:eastAsia="Times New Roman" w:hAnsi="Times New Roman" w:cs="Times New Roman"/>
                <w:color w:val="000000"/>
                <w:sz w:val="24"/>
                <w:szCs w:val="24"/>
                <w:lang w:val="ro-MD" w:eastAsia="ru-RU"/>
              </w:rPr>
              <w:t xml:space="preserve"> = S</w:t>
            </w:r>
            <w:r w:rsidRPr="007002B9">
              <w:rPr>
                <w:rFonts w:ascii="Times New Roman" w:eastAsia="Times New Roman" w:hAnsi="Times New Roman" w:cs="Times New Roman"/>
                <w:color w:val="000000"/>
                <w:sz w:val="24"/>
                <w:szCs w:val="24"/>
                <w:vertAlign w:val="subscript"/>
                <w:lang w:val="ro-MD" w:eastAsia="ru-RU"/>
              </w:rPr>
              <w:t>E</w:t>
            </w:r>
            <w:r w:rsidRPr="007002B9">
              <w:rPr>
                <w:rFonts w:ascii="Times New Roman" w:eastAsia="Times New Roman" w:hAnsi="Times New Roman" w:cs="Times New Roman"/>
                <w:color w:val="000000"/>
                <w:sz w:val="24"/>
                <w:szCs w:val="24"/>
                <w:lang w:val="ro-MD" w:eastAsia="ru-RU"/>
              </w:rPr>
              <w:t xml:space="preserve"> × C</w:t>
            </w:r>
            <w:r w:rsidRPr="007002B9">
              <w:rPr>
                <w:rFonts w:ascii="Times New Roman" w:eastAsia="Times New Roman" w:hAnsi="Times New Roman" w:cs="Times New Roman"/>
                <w:color w:val="000000"/>
                <w:sz w:val="24"/>
                <w:szCs w:val="24"/>
                <w:vertAlign w:val="subscript"/>
                <w:lang w:val="ro-MD" w:eastAsia="ru-RU"/>
              </w:rPr>
              <w:t>A</w:t>
            </w:r>
            <w:r w:rsidRPr="007002B9">
              <w:rPr>
                <w:rFonts w:ascii="Times New Roman" w:eastAsia="Times New Roman" w:hAnsi="Times New Roman" w:cs="Times New Roman"/>
                <w:color w:val="000000"/>
                <w:sz w:val="24"/>
                <w:szCs w:val="24"/>
                <w:lang w:val="ro-MD" w:eastAsia="ru-RU"/>
              </w:rPr>
              <w:t>, unde M</w:t>
            </w:r>
            <w:r w:rsidRPr="007002B9">
              <w:rPr>
                <w:rFonts w:ascii="Times New Roman" w:eastAsia="Times New Roman" w:hAnsi="Times New Roman" w:cs="Times New Roman"/>
                <w:color w:val="000000"/>
                <w:sz w:val="24"/>
                <w:szCs w:val="24"/>
                <w:vertAlign w:val="subscript"/>
                <w:lang w:val="ro-MD" w:eastAsia="ru-RU"/>
              </w:rPr>
              <w:t>A</w:t>
            </w:r>
            <w:r w:rsidRPr="007002B9">
              <w:rPr>
                <w:rFonts w:ascii="Times New Roman" w:eastAsia="Times New Roman" w:hAnsi="Times New Roman" w:cs="Times New Roman"/>
                <w:color w:val="000000"/>
                <w:sz w:val="24"/>
                <w:szCs w:val="24"/>
                <w:lang w:val="ro-MD" w:eastAsia="ru-RU"/>
              </w:rPr>
              <w:t xml:space="preserve"> reprezintă mărimea ajutorului, S</w:t>
            </w:r>
            <w:r w:rsidRPr="007002B9">
              <w:rPr>
                <w:rFonts w:ascii="Times New Roman" w:eastAsia="Times New Roman" w:hAnsi="Times New Roman" w:cs="Times New Roman"/>
                <w:color w:val="000000"/>
                <w:sz w:val="24"/>
                <w:szCs w:val="24"/>
                <w:vertAlign w:val="subscript"/>
                <w:lang w:val="ro-MD" w:eastAsia="ru-RU"/>
              </w:rPr>
              <w:t>E</w:t>
            </w:r>
            <w:r w:rsidRPr="007002B9">
              <w:rPr>
                <w:rFonts w:ascii="Times New Roman" w:eastAsia="Times New Roman" w:hAnsi="Times New Roman" w:cs="Times New Roman"/>
                <w:color w:val="000000"/>
                <w:sz w:val="24"/>
                <w:szCs w:val="24"/>
                <w:lang w:val="ro-MD" w:eastAsia="ru-RU"/>
              </w:rPr>
              <w:t xml:space="preserve"> – suprafața eligibilă per solicitant, iar C</w:t>
            </w:r>
            <w:r w:rsidRPr="007002B9">
              <w:rPr>
                <w:rFonts w:ascii="Times New Roman" w:eastAsia="Times New Roman" w:hAnsi="Times New Roman" w:cs="Times New Roman"/>
                <w:color w:val="000000"/>
                <w:sz w:val="24"/>
                <w:szCs w:val="24"/>
                <w:vertAlign w:val="subscript"/>
                <w:lang w:val="ro-MD" w:eastAsia="ru-RU"/>
              </w:rPr>
              <w:t>A</w:t>
            </w:r>
            <w:r w:rsidRPr="007002B9">
              <w:rPr>
                <w:rFonts w:ascii="Times New Roman" w:eastAsia="Times New Roman" w:hAnsi="Times New Roman" w:cs="Times New Roman"/>
                <w:color w:val="000000"/>
                <w:sz w:val="24"/>
                <w:szCs w:val="24"/>
                <w:lang w:val="ro-MD" w:eastAsia="ru-RU"/>
              </w:rPr>
              <w:t xml:space="preserve"> – cuantumul per hectar.</w:t>
            </w:r>
          </w:p>
          <w:p w:rsidR="00403A9E" w:rsidRPr="007002B9" w:rsidRDefault="00403A9E" w:rsidP="00403A9E">
            <w:pPr>
              <w:pStyle w:val="Listparagraf"/>
              <w:spacing w:after="0"/>
              <w:ind w:left="27" w:firstLine="567"/>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 xml:space="preserve">Suprafața eligibilă (SE) se determină prin formula: </w:t>
            </w:r>
            <w:r w:rsidRPr="007002B9">
              <w:rPr>
                <w:rFonts w:ascii="Times New Roman" w:eastAsia="Times New Roman" w:hAnsi="Times New Roman" w:cs="Times New Roman"/>
                <w:bCs/>
                <w:color w:val="000000"/>
                <w:sz w:val="24"/>
                <w:szCs w:val="24"/>
                <w:lang w:eastAsia="ru-RU"/>
              </w:rPr>
              <w:t>S</w:t>
            </w:r>
            <w:r w:rsidRPr="007002B9">
              <w:rPr>
                <w:rFonts w:ascii="Times New Roman" w:eastAsia="Times New Roman" w:hAnsi="Times New Roman" w:cs="Times New Roman"/>
                <w:bCs/>
                <w:color w:val="000000"/>
                <w:sz w:val="24"/>
                <w:szCs w:val="24"/>
                <w:vertAlign w:val="subscript"/>
                <w:lang w:eastAsia="ru-RU"/>
              </w:rPr>
              <w:t>E</w:t>
            </w:r>
            <w:r w:rsidRPr="007002B9">
              <w:rPr>
                <w:rFonts w:ascii="Times New Roman" w:eastAsia="Times New Roman" w:hAnsi="Times New Roman" w:cs="Times New Roman"/>
                <w:bCs/>
                <w:color w:val="000000"/>
                <w:sz w:val="24"/>
                <w:szCs w:val="24"/>
                <w:lang w:eastAsia="ru-RU"/>
              </w:rPr>
              <w:t xml:space="preserve"> = (S</w:t>
            </w:r>
            <w:r w:rsidRPr="007002B9">
              <w:rPr>
                <w:rFonts w:ascii="Times New Roman" w:eastAsia="Times New Roman" w:hAnsi="Times New Roman" w:cs="Times New Roman"/>
                <w:bCs/>
                <w:color w:val="000000"/>
                <w:sz w:val="24"/>
                <w:szCs w:val="24"/>
                <w:vertAlign w:val="subscript"/>
                <w:lang w:eastAsia="ru-RU"/>
              </w:rPr>
              <w:t>1</w:t>
            </w:r>
            <w:r w:rsidRPr="007002B9">
              <w:rPr>
                <w:rFonts w:ascii="Times New Roman" w:eastAsia="Times New Roman" w:hAnsi="Times New Roman" w:cs="Times New Roman"/>
                <w:bCs/>
                <w:color w:val="000000"/>
                <w:sz w:val="24"/>
                <w:szCs w:val="24"/>
                <w:lang w:eastAsia="ru-RU"/>
              </w:rPr>
              <w:t xml:space="preserve"> × G</w:t>
            </w:r>
            <w:r w:rsidRPr="007002B9">
              <w:rPr>
                <w:rFonts w:ascii="Times New Roman" w:eastAsia="Times New Roman" w:hAnsi="Times New Roman" w:cs="Times New Roman"/>
                <w:bCs/>
                <w:color w:val="000000"/>
                <w:sz w:val="24"/>
                <w:szCs w:val="24"/>
                <w:vertAlign w:val="subscript"/>
                <w:lang w:eastAsia="ru-RU"/>
              </w:rPr>
              <w:t>A1</w:t>
            </w:r>
            <w:r w:rsidRPr="007002B9">
              <w:rPr>
                <w:rFonts w:ascii="Times New Roman" w:eastAsia="Times New Roman" w:hAnsi="Times New Roman" w:cs="Times New Roman"/>
                <w:bCs/>
                <w:color w:val="000000"/>
                <w:sz w:val="24"/>
                <w:szCs w:val="24"/>
                <w:lang w:eastAsia="ru-RU"/>
              </w:rPr>
              <w:t xml:space="preserve"> + S</w:t>
            </w:r>
            <w:r w:rsidRPr="007002B9">
              <w:rPr>
                <w:rFonts w:ascii="Times New Roman" w:eastAsia="Times New Roman" w:hAnsi="Times New Roman" w:cs="Times New Roman"/>
                <w:bCs/>
                <w:color w:val="000000"/>
                <w:sz w:val="24"/>
                <w:szCs w:val="24"/>
                <w:vertAlign w:val="subscript"/>
                <w:lang w:eastAsia="ru-RU"/>
              </w:rPr>
              <w:t>2</w:t>
            </w:r>
            <w:r w:rsidRPr="007002B9">
              <w:rPr>
                <w:rFonts w:ascii="Times New Roman" w:eastAsia="Times New Roman" w:hAnsi="Times New Roman" w:cs="Times New Roman"/>
                <w:bCs/>
                <w:color w:val="000000"/>
                <w:sz w:val="24"/>
                <w:szCs w:val="24"/>
                <w:lang w:eastAsia="ru-RU"/>
              </w:rPr>
              <w:t xml:space="preserve"> × G</w:t>
            </w:r>
            <w:r w:rsidRPr="007002B9">
              <w:rPr>
                <w:rFonts w:ascii="Times New Roman" w:eastAsia="Times New Roman" w:hAnsi="Times New Roman" w:cs="Times New Roman"/>
                <w:bCs/>
                <w:color w:val="000000"/>
                <w:sz w:val="24"/>
                <w:szCs w:val="24"/>
                <w:vertAlign w:val="subscript"/>
                <w:lang w:eastAsia="ru-RU"/>
              </w:rPr>
              <w:t>A2</w:t>
            </w:r>
            <w:r w:rsidRPr="007002B9">
              <w:rPr>
                <w:rFonts w:ascii="Times New Roman" w:eastAsia="Times New Roman" w:hAnsi="Times New Roman" w:cs="Times New Roman"/>
                <w:bCs/>
                <w:color w:val="000000"/>
                <w:sz w:val="24"/>
                <w:szCs w:val="24"/>
                <w:lang w:eastAsia="ru-RU"/>
              </w:rPr>
              <w:t xml:space="preserve"> + … + S</w:t>
            </w:r>
            <w:r w:rsidRPr="007002B9">
              <w:rPr>
                <w:rFonts w:ascii="Times New Roman" w:eastAsia="Times New Roman" w:hAnsi="Times New Roman" w:cs="Times New Roman"/>
                <w:bCs/>
                <w:color w:val="000000"/>
                <w:sz w:val="24"/>
                <w:szCs w:val="24"/>
                <w:vertAlign w:val="subscript"/>
                <w:lang w:eastAsia="ru-RU"/>
              </w:rPr>
              <w:t>n</w:t>
            </w:r>
            <w:r w:rsidRPr="007002B9">
              <w:rPr>
                <w:rFonts w:ascii="Times New Roman" w:eastAsia="Times New Roman" w:hAnsi="Times New Roman" w:cs="Times New Roman"/>
                <w:bCs/>
                <w:color w:val="000000"/>
                <w:sz w:val="24"/>
                <w:szCs w:val="24"/>
                <w:lang w:eastAsia="ru-RU"/>
              </w:rPr>
              <w:t xml:space="preserve"> × G</w:t>
            </w:r>
            <w:r w:rsidRPr="007002B9">
              <w:rPr>
                <w:rFonts w:ascii="Times New Roman" w:eastAsia="Times New Roman" w:hAnsi="Times New Roman" w:cs="Times New Roman"/>
                <w:bCs/>
                <w:color w:val="000000"/>
                <w:sz w:val="24"/>
                <w:szCs w:val="24"/>
                <w:vertAlign w:val="subscript"/>
                <w:lang w:eastAsia="ru-RU"/>
              </w:rPr>
              <w:t>An</w:t>
            </w:r>
            <w:r w:rsidRPr="007002B9">
              <w:rPr>
                <w:rFonts w:ascii="Times New Roman" w:eastAsia="Times New Roman" w:hAnsi="Times New Roman" w:cs="Times New Roman"/>
                <w:bCs/>
                <w:color w:val="000000"/>
                <w:sz w:val="24"/>
                <w:szCs w:val="24"/>
                <w:lang w:eastAsia="ru-RU"/>
              </w:rPr>
              <w:t>) × k</w:t>
            </w:r>
            <w:r w:rsidRPr="007002B9">
              <w:rPr>
                <w:rFonts w:ascii="Times New Roman" w:eastAsia="Times New Roman" w:hAnsi="Times New Roman" w:cs="Times New Roman"/>
                <w:color w:val="000000"/>
                <w:sz w:val="24"/>
                <w:szCs w:val="24"/>
                <w:lang w:eastAsia="ru-RU"/>
              </w:rPr>
              <w:t xml:space="preserve">, unde </w:t>
            </w:r>
            <w:r w:rsidRPr="007002B9">
              <w:rPr>
                <w:rFonts w:ascii="Times New Roman" w:eastAsia="Times New Roman" w:hAnsi="Times New Roman" w:cs="Times New Roman"/>
                <w:bCs/>
                <w:color w:val="000000"/>
                <w:sz w:val="24"/>
                <w:szCs w:val="24"/>
                <w:lang w:eastAsia="ru-RU"/>
              </w:rPr>
              <w:t>S</w:t>
            </w:r>
            <w:r w:rsidRPr="007002B9">
              <w:rPr>
                <w:rFonts w:ascii="Times New Roman" w:eastAsia="Times New Roman" w:hAnsi="Times New Roman" w:cs="Times New Roman"/>
                <w:bCs/>
                <w:color w:val="000000"/>
                <w:sz w:val="24"/>
                <w:szCs w:val="24"/>
                <w:vertAlign w:val="subscript"/>
                <w:lang w:eastAsia="ru-RU"/>
              </w:rPr>
              <w:t>1</w:t>
            </w:r>
            <w:r w:rsidRPr="007002B9">
              <w:rPr>
                <w:rFonts w:ascii="Times New Roman" w:eastAsia="Times New Roman" w:hAnsi="Times New Roman" w:cs="Times New Roman"/>
                <w:bCs/>
                <w:color w:val="000000"/>
                <w:sz w:val="24"/>
                <w:szCs w:val="24"/>
                <w:lang w:eastAsia="ru-RU"/>
              </w:rPr>
              <w:t>...S</w:t>
            </w:r>
            <w:r w:rsidRPr="007002B9">
              <w:rPr>
                <w:rFonts w:ascii="Times New Roman" w:eastAsia="Times New Roman" w:hAnsi="Times New Roman" w:cs="Times New Roman"/>
                <w:bCs/>
                <w:color w:val="000000"/>
                <w:sz w:val="24"/>
                <w:szCs w:val="24"/>
                <w:vertAlign w:val="subscript"/>
                <w:lang w:eastAsia="ru-RU"/>
              </w:rPr>
              <w:t>n</w:t>
            </w:r>
            <w:r w:rsidRPr="007002B9">
              <w:rPr>
                <w:rFonts w:ascii="Times New Roman" w:eastAsia="Times New Roman" w:hAnsi="Times New Roman" w:cs="Times New Roman"/>
                <w:color w:val="000000"/>
                <w:sz w:val="24"/>
                <w:szCs w:val="24"/>
                <w:lang w:eastAsia="ru-RU"/>
              </w:rPr>
              <w:t xml:space="preserve"> sunt suprafețele de grâu și porumb afectate. Gradul de afectare (G</w:t>
            </w:r>
            <w:r w:rsidRPr="007002B9">
              <w:rPr>
                <w:rFonts w:ascii="Times New Roman" w:eastAsia="Times New Roman" w:hAnsi="Times New Roman" w:cs="Times New Roman"/>
                <w:color w:val="000000"/>
                <w:sz w:val="24"/>
                <w:szCs w:val="24"/>
                <w:vertAlign w:val="subscript"/>
                <w:lang w:eastAsia="ru-RU"/>
              </w:rPr>
              <w:t>A</w:t>
            </w:r>
            <w:r w:rsidRPr="007002B9">
              <w:rPr>
                <w:rFonts w:ascii="Times New Roman" w:eastAsia="Times New Roman" w:hAnsi="Times New Roman" w:cs="Times New Roman"/>
                <w:color w:val="000000"/>
                <w:sz w:val="24"/>
                <w:szCs w:val="24"/>
                <w:lang w:eastAsia="ru-RU"/>
              </w:rPr>
              <w:t>) variază astfel:</w:t>
            </w:r>
          </w:p>
          <w:p w:rsidR="00403A9E" w:rsidRPr="007002B9" w:rsidRDefault="00403A9E" w:rsidP="00403A9E">
            <w:pPr>
              <w:pStyle w:val="Listparagraf"/>
              <w:numPr>
                <w:ilvl w:val="0"/>
                <w:numId w:val="3"/>
              </w:numPr>
              <w:spacing w:after="0"/>
              <w:ind w:left="27" w:firstLine="567"/>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bCs/>
                <w:color w:val="000000"/>
                <w:sz w:val="24"/>
                <w:szCs w:val="24"/>
                <w:lang w:eastAsia="ru-RU"/>
              </w:rPr>
              <w:t>Porumb</w:t>
            </w:r>
            <w:r w:rsidRPr="007002B9">
              <w:rPr>
                <w:rFonts w:ascii="Times New Roman" w:eastAsia="Times New Roman" w:hAnsi="Times New Roman" w:cs="Times New Roman"/>
                <w:color w:val="000000"/>
                <w:sz w:val="24"/>
                <w:szCs w:val="24"/>
                <w:lang w:eastAsia="ru-RU"/>
              </w:rPr>
              <w:t>: 81-100% = 1,0; 71-80% = 0,9; 60-70% = 0,8;</w:t>
            </w:r>
          </w:p>
          <w:p w:rsidR="00403A9E" w:rsidRPr="007002B9" w:rsidRDefault="00403A9E" w:rsidP="00403A9E">
            <w:pPr>
              <w:pStyle w:val="Listparagraf"/>
              <w:numPr>
                <w:ilvl w:val="0"/>
                <w:numId w:val="3"/>
              </w:numPr>
              <w:spacing w:after="0"/>
              <w:ind w:left="27" w:firstLine="567"/>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bCs/>
                <w:color w:val="000000"/>
                <w:sz w:val="24"/>
                <w:szCs w:val="24"/>
                <w:lang w:eastAsia="ru-RU"/>
              </w:rPr>
              <w:t>Grâu</w:t>
            </w:r>
            <w:r w:rsidRPr="007002B9">
              <w:rPr>
                <w:rFonts w:ascii="Times New Roman" w:eastAsia="Times New Roman" w:hAnsi="Times New Roman" w:cs="Times New Roman"/>
                <w:color w:val="000000"/>
                <w:sz w:val="24"/>
                <w:szCs w:val="24"/>
                <w:lang w:eastAsia="ru-RU"/>
              </w:rPr>
              <w:t>: 81-100% = 1,0; 70-80% = 0,9.</w:t>
            </w:r>
          </w:p>
          <w:p w:rsidR="00012899" w:rsidRPr="007002B9" w:rsidRDefault="00012899" w:rsidP="00012899">
            <w:pPr>
              <w:pStyle w:val="Listparagraf"/>
              <w:spacing w:after="0" w:line="240" w:lineRule="auto"/>
              <w:ind w:left="27" w:firstLine="425"/>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Coeficientul k depinde de suprafața totală a fermierului, scăzând de la 1,0 (pentru ≤ 300 ha) la 0,6 (pentru &gt; 1201 ha).</w:t>
            </w:r>
          </w:p>
          <w:p w:rsidR="00403A9E" w:rsidRPr="007002B9" w:rsidRDefault="00012899" w:rsidP="00403A9E">
            <w:pPr>
              <w:pStyle w:val="Listparagraf"/>
              <w:spacing w:after="0" w:line="240" w:lineRule="auto"/>
              <w:ind w:left="27" w:firstLine="425"/>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Cuantumul ajutorului per hectar (C</w:t>
            </w:r>
            <w:r w:rsidRPr="007002B9">
              <w:rPr>
                <w:rFonts w:ascii="Times New Roman" w:eastAsia="Times New Roman" w:hAnsi="Times New Roman" w:cs="Times New Roman"/>
                <w:color w:val="000000"/>
                <w:sz w:val="24"/>
                <w:szCs w:val="24"/>
                <w:vertAlign w:val="subscript"/>
                <w:lang w:val="ro-MD" w:eastAsia="ru-RU"/>
              </w:rPr>
              <w:t>A</w:t>
            </w:r>
            <w:r w:rsidRPr="007002B9">
              <w:rPr>
                <w:rFonts w:ascii="Times New Roman" w:eastAsia="Times New Roman" w:hAnsi="Times New Roman" w:cs="Times New Roman"/>
                <w:color w:val="000000"/>
                <w:sz w:val="24"/>
                <w:szCs w:val="24"/>
                <w:lang w:val="ro-MD" w:eastAsia="ru-RU"/>
              </w:rPr>
              <w:t>) este raportul dintre valoarea totală a ajutorului disponibil (C</w:t>
            </w:r>
            <w:r w:rsidRPr="007002B9">
              <w:rPr>
                <w:rFonts w:ascii="Times New Roman" w:eastAsia="Times New Roman" w:hAnsi="Times New Roman" w:cs="Times New Roman"/>
                <w:color w:val="000000"/>
                <w:sz w:val="24"/>
                <w:szCs w:val="24"/>
                <w:vertAlign w:val="subscript"/>
                <w:lang w:val="ro-MD" w:eastAsia="ru-RU"/>
              </w:rPr>
              <w:t>T</w:t>
            </w:r>
            <w:r w:rsidRPr="007002B9">
              <w:rPr>
                <w:rFonts w:ascii="Times New Roman" w:eastAsia="Times New Roman" w:hAnsi="Times New Roman" w:cs="Times New Roman"/>
                <w:color w:val="000000"/>
                <w:sz w:val="24"/>
                <w:szCs w:val="24"/>
                <w:lang w:val="ro-MD" w:eastAsia="ru-RU"/>
              </w:rPr>
              <w:t>) și suprafața totală afectată (S</w:t>
            </w:r>
            <w:r w:rsidRPr="007002B9">
              <w:rPr>
                <w:rFonts w:ascii="Times New Roman" w:eastAsia="Times New Roman" w:hAnsi="Times New Roman" w:cs="Times New Roman"/>
                <w:color w:val="000000"/>
                <w:sz w:val="24"/>
                <w:szCs w:val="24"/>
                <w:vertAlign w:val="subscript"/>
                <w:lang w:val="ro-MD" w:eastAsia="ru-RU"/>
              </w:rPr>
              <w:t>TA</w:t>
            </w:r>
            <w:r w:rsidRPr="007002B9">
              <w:rPr>
                <w:rFonts w:ascii="Times New Roman" w:eastAsia="Times New Roman" w:hAnsi="Times New Roman" w:cs="Times New Roman"/>
                <w:color w:val="000000"/>
                <w:sz w:val="24"/>
                <w:szCs w:val="24"/>
                <w:lang w:val="ro-MD" w:eastAsia="ru-RU"/>
              </w:rPr>
              <w:t>): C</w:t>
            </w:r>
            <w:r w:rsidRPr="007002B9">
              <w:rPr>
                <w:rFonts w:ascii="Times New Roman" w:eastAsia="Times New Roman" w:hAnsi="Times New Roman" w:cs="Times New Roman"/>
                <w:color w:val="000000"/>
                <w:sz w:val="24"/>
                <w:szCs w:val="24"/>
                <w:vertAlign w:val="subscript"/>
                <w:lang w:val="ro-MD" w:eastAsia="ru-RU"/>
              </w:rPr>
              <w:t>A</w:t>
            </w:r>
            <w:r w:rsidRPr="007002B9">
              <w:rPr>
                <w:rFonts w:ascii="Times New Roman" w:eastAsia="Times New Roman" w:hAnsi="Times New Roman" w:cs="Times New Roman"/>
                <w:color w:val="000000"/>
                <w:sz w:val="24"/>
                <w:szCs w:val="24"/>
                <w:lang w:val="ro-MD" w:eastAsia="ru-RU"/>
              </w:rPr>
              <w:t xml:space="preserve"> = C</w:t>
            </w:r>
            <w:r w:rsidRPr="007002B9">
              <w:rPr>
                <w:rFonts w:ascii="Times New Roman" w:eastAsia="Times New Roman" w:hAnsi="Times New Roman" w:cs="Times New Roman"/>
                <w:color w:val="000000"/>
                <w:sz w:val="24"/>
                <w:szCs w:val="24"/>
                <w:vertAlign w:val="subscript"/>
                <w:lang w:val="ro-MD" w:eastAsia="ru-RU"/>
              </w:rPr>
              <w:t>T</w:t>
            </w:r>
            <w:r w:rsidRPr="007002B9">
              <w:rPr>
                <w:rFonts w:ascii="Times New Roman" w:eastAsia="Times New Roman" w:hAnsi="Times New Roman" w:cs="Times New Roman"/>
                <w:color w:val="000000"/>
                <w:sz w:val="24"/>
                <w:szCs w:val="24"/>
                <w:lang w:val="ro-MD" w:eastAsia="ru-RU"/>
              </w:rPr>
              <w:t xml:space="preserve"> ÷ S</w:t>
            </w:r>
            <w:r w:rsidRPr="007002B9">
              <w:rPr>
                <w:rFonts w:ascii="Times New Roman" w:eastAsia="Times New Roman" w:hAnsi="Times New Roman" w:cs="Times New Roman"/>
                <w:color w:val="000000"/>
                <w:sz w:val="24"/>
                <w:szCs w:val="24"/>
                <w:vertAlign w:val="subscript"/>
                <w:lang w:val="ro-MD" w:eastAsia="ru-RU"/>
              </w:rPr>
              <w:t>TA</w:t>
            </w:r>
            <w:r w:rsidRPr="007002B9">
              <w:rPr>
                <w:rFonts w:ascii="Times New Roman" w:eastAsia="Times New Roman" w:hAnsi="Times New Roman" w:cs="Times New Roman"/>
                <w:color w:val="000000"/>
                <w:sz w:val="24"/>
                <w:szCs w:val="24"/>
                <w:lang w:val="ro-MD" w:eastAsia="ru-RU"/>
              </w:rPr>
              <w:t>.</w:t>
            </w:r>
          </w:p>
          <w:p w:rsidR="00403A9E" w:rsidRPr="007002B9" w:rsidRDefault="007816FB" w:rsidP="00403A9E">
            <w:pPr>
              <w:pStyle w:val="Listparagraf"/>
              <w:spacing w:after="0" w:line="240" w:lineRule="auto"/>
              <w:ind w:left="27" w:firstLine="425"/>
              <w:jc w:val="both"/>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Gestion</w:t>
            </w:r>
            <w:r w:rsidR="006A298B" w:rsidRPr="007002B9">
              <w:rPr>
                <w:rFonts w:ascii="Times New Roman" w:eastAsia="Times New Roman" w:hAnsi="Times New Roman" w:cs="Times New Roman"/>
                <w:color w:val="000000"/>
                <w:sz w:val="24"/>
                <w:szCs w:val="24"/>
                <w:lang w:val="ro-MD" w:eastAsia="ru-RU"/>
              </w:rPr>
              <w:t xml:space="preserve">area fondurilor </w:t>
            </w:r>
            <w:r w:rsidR="00403A9E" w:rsidRPr="007002B9">
              <w:rPr>
                <w:rFonts w:ascii="Times New Roman" w:eastAsia="Times New Roman" w:hAnsi="Times New Roman" w:cs="Times New Roman"/>
                <w:color w:val="000000"/>
                <w:sz w:val="24"/>
                <w:szCs w:val="24"/>
                <w:lang w:val="ro-MD" w:eastAsia="ru-RU"/>
              </w:rPr>
              <w:t>este</w:t>
            </w:r>
            <w:r w:rsidR="006A298B" w:rsidRPr="007002B9">
              <w:rPr>
                <w:rFonts w:ascii="Times New Roman" w:eastAsia="Times New Roman" w:hAnsi="Times New Roman" w:cs="Times New Roman"/>
                <w:color w:val="000000"/>
                <w:sz w:val="24"/>
                <w:szCs w:val="24"/>
                <w:lang w:val="ro-MD" w:eastAsia="ru-RU"/>
              </w:rPr>
              <w:t xml:space="preserve"> as</w:t>
            </w:r>
            <w:r w:rsidR="00F16D65" w:rsidRPr="007002B9">
              <w:rPr>
                <w:rFonts w:ascii="Times New Roman" w:eastAsia="Times New Roman" w:hAnsi="Times New Roman" w:cs="Times New Roman"/>
                <w:color w:val="000000"/>
                <w:sz w:val="24"/>
                <w:szCs w:val="24"/>
                <w:lang w:val="ro-MD" w:eastAsia="ru-RU"/>
              </w:rPr>
              <w:t>igurată transparent și eficiența</w:t>
            </w:r>
            <w:r w:rsidR="006A298B" w:rsidRPr="007002B9">
              <w:rPr>
                <w:rFonts w:ascii="Times New Roman" w:eastAsia="Times New Roman" w:hAnsi="Times New Roman" w:cs="Times New Roman"/>
                <w:color w:val="000000"/>
                <w:sz w:val="24"/>
                <w:szCs w:val="24"/>
                <w:lang w:val="ro-MD" w:eastAsia="ru-RU"/>
              </w:rPr>
              <w:t xml:space="preserve"> </w:t>
            </w:r>
            <w:r w:rsidR="00F16D65" w:rsidRPr="007002B9">
              <w:rPr>
                <w:rFonts w:ascii="Times New Roman" w:eastAsia="Times New Roman" w:hAnsi="Times New Roman" w:cs="Times New Roman"/>
                <w:color w:val="000000"/>
                <w:sz w:val="24"/>
                <w:szCs w:val="24"/>
                <w:lang w:val="ro-MD" w:eastAsia="ru-RU"/>
              </w:rPr>
              <w:t>prin procedurile clare pentru depunerea cererilor de ajutor financiar, inclusiv colectarea documentelor necesare și evaluarea acestora de către subdiviziunile teritoriale ale AIPA.</w:t>
            </w:r>
          </w:p>
          <w:p w:rsidR="009E5114" w:rsidRPr="007002B9" w:rsidRDefault="009B4D14" w:rsidP="00403A9E">
            <w:pPr>
              <w:pStyle w:val="Listparagraf"/>
              <w:spacing w:after="0" w:line="240" w:lineRule="auto"/>
              <w:ind w:left="27" w:firstLine="425"/>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eastAsia="ru-RU"/>
              </w:rPr>
              <w:t>Importanța națională a proiectului și urgența acestuia justifică termenul de avizare de 5 zile, având în vedere impactul major al secetei asupra agriculturii. Acțiunile rapide sunt esențiale pentru a preveni colapsul economic al regiunilor rurale afectate.</w:t>
            </w:r>
            <w:r w:rsidR="00403A9E" w:rsidRPr="007002B9">
              <w:rPr>
                <w:rFonts w:ascii="Times New Roman" w:eastAsia="Times New Roman" w:hAnsi="Times New Roman" w:cs="Times New Roman"/>
                <w:color w:val="000000"/>
                <w:sz w:val="24"/>
                <w:szCs w:val="24"/>
                <w:lang w:eastAsia="ru-RU"/>
              </w:rPr>
              <w:t xml:space="preserve"> Iar a</w:t>
            </w:r>
            <w:r w:rsidR="009E5114" w:rsidRPr="007002B9">
              <w:rPr>
                <w:rFonts w:ascii="Times New Roman" w:eastAsia="Times New Roman" w:hAnsi="Times New Roman" w:cs="Times New Roman"/>
                <w:color w:val="000000"/>
                <w:sz w:val="24"/>
                <w:szCs w:val="24"/>
                <w:lang w:eastAsia="ru-RU"/>
              </w:rPr>
              <w:t>ctul normativ intre în vigoare la data publicării în Monitorul Oficial pentru a permite acordarea promptă a ajutorului financiar fermierilor afectați de secetă, având în vedere urgența situației. Această măsură este esențială pentru a preveni agravarea dificultăților economice din sectorul agricol și pentru a proteja interesele fermierilor afectați.</w:t>
            </w:r>
          </w:p>
        </w:tc>
      </w:tr>
      <w:tr w:rsidR="00645815" w:rsidRPr="007F23AE" w:rsidTr="00BA77A0">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16D65" w:rsidRPr="007002B9" w:rsidRDefault="00645815" w:rsidP="00403A9E">
            <w:p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lastRenderedPageBreak/>
              <w:t>3.2. Opţiunile alternative analizate şi motivele pentru care acestea nu au fost luate în considerare</w:t>
            </w:r>
          </w:p>
          <w:p w:rsidR="00403A9E" w:rsidRPr="007002B9" w:rsidRDefault="00F16D65" w:rsidP="00403A9E">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Opțiunea aleasă – alocarea directă de fonduri per hectar – a fost considerată cea mai eficientă deoarece oferă sprijin financiar rapid și concret fermierilor afectați, abordând pierder</w:t>
            </w:r>
            <w:r w:rsidR="00403A9E" w:rsidRPr="007002B9">
              <w:rPr>
                <w:rFonts w:ascii="Times New Roman" w:eastAsia="Times New Roman" w:hAnsi="Times New Roman" w:cs="Times New Roman"/>
                <w:color w:val="000000"/>
                <w:sz w:val="24"/>
                <w:szCs w:val="24"/>
                <w:lang w:val="ro-MD" w:eastAsia="ru-RU"/>
              </w:rPr>
              <w:t>ile imediate cauzate de secetă.</w:t>
            </w:r>
          </w:p>
          <w:p w:rsidR="00E407E0" w:rsidRPr="00AB32F4" w:rsidRDefault="00F16D65" w:rsidP="00403A9E">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Această soluție simplifică procesul administrativ și asigură o distribuție transparentă și echitabilă a resurselor, </w:t>
            </w:r>
            <w:r w:rsidRPr="00AB32F4">
              <w:rPr>
                <w:rFonts w:ascii="Times New Roman" w:eastAsia="Times New Roman" w:hAnsi="Times New Roman" w:cs="Times New Roman"/>
                <w:color w:val="000000"/>
                <w:sz w:val="24"/>
                <w:szCs w:val="24"/>
                <w:lang w:val="ro-MD" w:eastAsia="ru-RU"/>
              </w:rPr>
              <w:t>permițând fermierilor să folosească fondurile în moduri care răspund nevoilor lor specifice.</w:t>
            </w:r>
          </w:p>
          <w:p w:rsidR="00403A9E" w:rsidRPr="007002B9" w:rsidRDefault="00403A9E" w:rsidP="00403A9E">
            <w:pPr>
              <w:spacing w:after="0" w:line="240" w:lineRule="auto"/>
              <w:ind w:firstLine="452"/>
              <w:jc w:val="both"/>
              <w:rPr>
                <w:rFonts w:ascii="Times New Roman" w:eastAsia="Times New Roman" w:hAnsi="Times New Roman" w:cs="Times New Roman"/>
                <w:color w:val="000000"/>
                <w:sz w:val="24"/>
                <w:szCs w:val="24"/>
                <w:lang w:val="ro-MD" w:eastAsia="ru-RU"/>
              </w:rPr>
            </w:pPr>
            <w:r w:rsidRPr="00AB32F4">
              <w:rPr>
                <w:rFonts w:ascii="Times New Roman" w:eastAsia="Times New Roman" w:hAnsi="Times New Roman" w:cs="Times New Roman"/>
                <w:color w:val="000000"/>
                <w:sz w:val="24"/>
                <w:szCs w:val="24"/>
                <w:lang w:val="ro-MD" w:eastAsia="ru-RU"/>
              </w:rPr>
              <w:t>De asemenea, formula de calcul a fost aleasă pentru a asigura echitatea în distribuirea fondurilor, oferind sprijin proporțional fermierilor care au suferit pierderi reale și semnificative, garantând astfel că ajutorul ajunge la cei mai afectați.</w:t>
            </w:r>
          </w:p>
        </w:tc>
      </w:tr>
      <w:tr w:rsidR="00645815" w:rsidRPr="00645815"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4. Analiza impactului de reglementare</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F7FEA" w:rsidRPr="007002B9" w:rsidRDefault="00645815" w:rsidP="00FF7FEA">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4.1. Impactul asupra sectorului public</w:t>
            </w:r>
          </w:p>
          <w:p w:rsidR="007B0950" w:rsidRDefault="007B0950" w:rsidP="00AB32F4">
            <w:pPr>
              <w:spacing w:after="0" w:line="240" w:lineRule="auto"/>
              <w:ind w:firstLine="452"/>
              <w:jc w:val="both"/>
              <w:rPr>
                <w:rFonts w:ascii="Times New Roman" w:eastAsia="Times New Roman" w:hAnsi="Times New Roman" w:cs="Times New Roman"/>
                <w:color w:val="000000"/>
                <w:sz w:val="24"/>
                <w:szCs w:val="24"/>
                <w:lang w:eastAsia="ru-RU"/>
              </w:rPr>
            </w:pPr>
            <w:r w:rsidRPr="007B0950">
              <w:rPr>
                <w:rFonts w:ascii="Times New Roman" w:eastAsia="Times New Roman" w:hAnsi="Times New Roman" w:cs="Times New Roman"/>
                <w:color w:val="000000"/>
                <w:sz w:val="24"/>
                <w:szCs w:val="24"/>
                <w:lang w:eastAsia="ru-RU"/>
              </w:rPr>
              <w:t xml:space="preserve">Implementarea proiectului va avea un impact pozitiv asupra sectorului public, contribuind atât la sprijinul imediat necesar pentru fermierii afectați de seceta și arșița severă din vara anului 2024, cât și la întărirea încrederii publicului în instituțiile statului. Proiectul va facilita o colaborare mai directă între autorități și agenții economici, asigurând o distribuție transparentă și echitabilă a resurselor, ceea ce va reduce riscurile de abuz și neînțelegeri. </w:t>
            </w:r>
          </w:p>
          <w:p w:rsidR="007B0950" w:rsidRDefault="007B0950" w:rsidP="00AB32F4">
            <w:pPr>
              <w:spacing w:after="0" w:line="240" w:lineRule="auto"/>
              <w:ind w:firstLine="452"/>
              <w:jc w:val="both"/>
              <w:rPr>
                <w:rFonts w:ascii="Times New Roman" w:eastAsia="Times New Roman" w:hAnsi="Times New Roman" w:cs="Times New Roman"/>
                <w:color w:val="000000"/>
                <w:sz w:val="24"/>
                <w:szCs w:val="24"/>
                <w:lang w:val="ro-MD" w:eastAsia="ru-RU"/>
              </w:rPr>
            </w:pPr>
            <w:r w:rsidRPr="007B0950">
              <w:rPr>
                <w:rFonts w:ascii="Times New Roman" w:eastAsia="Times New Roman" w:hAnsi="Times New Roman" w:cs="Times New Roman"/>
                <w:color w:val="000000"/>
                <w:sz w:val="24"/>
                <w:szCs w:val="24"/>
                <w:lang w:eastAsia="ru-RU"/>
              </w:rPr>
              <w:t>Pe termen lung, succesul proiectului va contribui la stabilizarea situației financiare a fermierilor</w:t>
            </w:r>
            <w:r>
              <w:rPr>
                <w:rFonts w:ascii="Times New Roman" w:eastAsia="Times New Roman" w:hAnsi="Times New Roman" w:cs="Times New Roman"/>
                <w:color w:val="000000"/>
                <w:sz w:val="24"/>
                <w:szCs w:val="24"/>
                <w:lang w:eastAsia="ru-RU"/>
              </w:rPr>
              <w:t xml:space="preserve"> </w:t>
            </w:r>
            <w:r w:rsidRPr="007B0950">
              <w:rPr>
                <w:rFonts w:ascii="Times New Roman" w:eastAsia="Times New Roman" w:hAnsi="Times New Roman" w:cs="Times New Roman"/>
                <w:color w:val="000000"/>
                <w:sz w:val="24"/>
                <w:szCs w:val="24"/>
                <w:lang w:eastAsia="ru-RU"/>
              </w:rPr>
              <w:t>care au fost afec</w:t>
            </w:r>
            <w:r>
              <w:rPr>
                <w:rFonts w:ascii="Times New Roman" w:eastAsia="Times New Roman" w:hAnsi="Times New Roman" w:cs="Times New Roman"/>
                <w:color w:val="000000"/>
                <w:sz w:val="24"/>
                <w:szCs w:val="24"/>
                <w:lang w:eastAsia="ru-RU"/>
              </w:rPr>
              <w:t xml:space="preserve">tați semnificativ de calamități </w:t>
            </w:r>
            <w:r w:rsidRPr="007B0950">
              <w:rPr>
                <w:rFonts w:ascii="Times New Roman" w:eastAsia="Times New Roman" w:hAnsi="Times New Roman" w:cs="Times New Roman"/>
                <w:color w:val="000000"/>
                <w:sz w:val="24"/>
                <w:szCs w:val="24"/>
                <w:lang w:eastAsia="ru-RU"/>
              </w:rPr>
              <w:t xml:space="preserve">și va întări capacitatea de dezvoltare </w:t>
            </w:r>
            <w:r>
              <w:rPr>
                <w:rFonts w:ascii="Times New Roman" w:eastAsia="Times New Roman" w:hAnsi="Times New Roman" w:cs="Times New Roman"/>
                <w:color w:val="000000"/>
                <w:sz w:val="24"/>
                <w:szCs w:val="24"/>
                <w:lang w:eastAsia="ru-RU"/>
              </w:rPr>
              <w:t xml:space="preserve">a acestora </w:t>
            </w:r>
          </w:p>
          <w:p w:rsidR="001941ED" w:rsidRPr="007002B9" w:rsidRDefault="00FF7FEA" w:rsidP="00AB32F4">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În concluzie, proiectul nu doar că va oferi suport direct fermierilor afectați, dar va întări și funcționarea eficientă a </w:t>
            </w:r>
            <w:r w:rsidRPr="00645B29">
              <w:rPr>
                <w:rFonts w:ascii="Times New Roman" w:eastAsia="Times New Roman" w:hAnsi="Times New Roman" w:cs="Times New Roman"/>
                <w:color w:val="000000"/>
                <w:sz w:val="24"/>
                <w:szCs w:val="24"/>
                <w:lang w:val="ro-MD" w:eastAsia="ru-RU"/>
              </w:rPr>
              <w:t>sectorului public, îmbunătățind gestionarea resurselor și consolidând relațiile dintre agenții economici și instituțiile statului.</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4.2. Impactul financiar şi argumentarea costurilor estimative</w:t>
            </w:r>
          </w:p>
          <w:p w:rsidR="00645B29" w:rsidRPr="00645B29" w:rsidRDefault="00645B29" w:rsidP="00645B29">
            <w:pPr>
              <w:spacing w:after="0" w:line="240" w:lineRule="auto"/>
              <w:ind w:firstLine="452"/>
              <w:jc w:val="both"/>
              <w:rPr>
                <w:rFonts w:ascii="Times New Roman" w:eastAsia="Times New Roman" w:hAnsi="Times New Roman" w:cs="Times New Roman"/>
                <w:color w:val="000000"/>
                <w:sz w:val="24"/>
                <w:szCs w:val="24"/>
                <w:lang w:eastAsia="ru-RU"/>
              </w:rPr>
            </w:pPr>
            <w:r w:rsidRPr="00645B29">
              <w:rPr>
                <w:rFonts w:ascii="Times New Roman" w:eastAsia="Times New Roman" w:hAnsi="Times New Roman" w:cs="Times New Roman"/>
                <w:color w:val="000000"/>
                <w:sz w:val="24"/>
                <w:szCs w:val="24"/>
                <w:lang w:val="ro-MD" w:eastAsia="ru-RU"/>
              </w:rPr>
              <w:t>Ajutorul financiar se acordă din sursele Fondului de intervenție a Guvernului</w:t>
            </w:r>
            <w:r w:rsidRPr="00645B29">
              <w:rPr>
                <w:rFonts w:ascii="Times New Roman" w:eastAsia="Times New Roman" w:hAnsi="Times New Roman" w:cs="Times New Roman"/>
                <w:color w:val="000000"/>
                <w:sz w:val="24"/>
                <w:szCs w:val="24"/>
                <w:lang w:eastAsia="ru-RU"/>
              </w:rPr>
              <w:t xml:space="preserve"> pentru compensarea parțială a costurilor suportate de fermieri în urma secetei și arșiței severe din anul 2024, în special pentru cultivarea porumbului și grâului. Această măsură este crucială având în vedere provocările cu care se confruntă sectorul agricol.</w:t>
            </w:r>
          </w:p>
          <w:p w:rsidR="00645B29" w:rsidRPr="00645B29" w:rsidRDefault="00645B29" w:rsidP="00645B29">
            <w:pPr>
              <w:spacing w:after="0" w:line="240" w:lineRule="auto"/>
              <w:ind w:firstLine="452"/>
              <w:jc w:val="both"/>
              <w:rPr>
                <w:rFonts w:ascii="Times New Roman" w:eastAsia="Times New Roman" w:hAnsi="Times New Roman" w:cs="Times New Roman"/>
                <w:color w:val="000000"/>
                <w:sz w:val="24"/>
                <w:szCs w:val="24"/>
                <w:lang w:eastAsia="ru-RU"/>
              </w:rPr>
            </w:pPr>
            <w:r w:rsidRPr="00645B29">
              <w:rPr>
                <w:rFonts w:ascii="Times New Roman" w:eastAsia="Times New Roman" w:hAnsi="Times New Roman" w:cs="Times New Roman"/>
                <w:color w:val="000000"/>
                <w:sz w:val="24"/>
                <w:szCs w:val="24"/>
                <w:lang w:eastAsia="ru-RU"/>
              </w:rPr>
              <w:t>În ultimii ani, agricultorii s-au confruntat cu creșteri semnificative ale costurilor pentru materiale și materii prime, carburanți, produse fitosanitare și îngrășăminte minerale, în timp ce prețurile pentru produsele agricole, inclusiv floarea-soarelui, grâu și porumb, au scăzut dramatic. Prețul porumbului a scăzut cu aproximativ 10% comparativ cu anul precedent, iar costurile pentru inputuri au crescut cu o medie anuală de 30%. În plus, contextul geopolitic instabil și crizele economice regionale au dus la majorarea ratelor dobânzilor la creditele investiționale, amplificând dificultățile financiare ale fermierilor.</w:t>
            </w:r>
          </w:p>
          <w:p w:rsidR="00FF7FEA" w:rsidRPr="00645B29" w:rsidRDefault="00645B29" w:rsidP="00645B29">
            <w:pPr>
              <w:spacing w:after="0" w:line="240" w:lineRule="auto"/>
              <w:ind w:firstLine="452"/>
              <w:jc w:val="both"/>
              <w:rPr>
                <w:rFonts w:ascii="Times New Roman" w:eastAsia="Times New Roman" w:hAnsi="Times New Roman" w:cs="Times New Roman"/>
                <w:color w:val="000000"/>
                <w:sz w:val="24"/>
                <w:szCs w:val="24"/>
                <w:lang w:eastAsia="ru-RU"/>
              </w:rPr>
            </w:pPr>
            <w:r w:rsidRPr="00645B29">
              <w:rPr>
                <w:rFonts w:ascii="Times New Roman" w:eastAsia="Times New Roman" w:hAnsi="Times New Roman" w:cs="Times New Roman"/>
                <w:color w:val="000000"/>
                <w:sz w:val="24"/>
                <w:szCs w:val="24"/>
                <w:lang w:eastAsia="ru-RU"/>
              </w:rPr>
              <w:lastRenderedPageBreak/>
              <w:t>Aceste constrângeri financiare au redus semnificativ lichiditățile disponibile pentru fermieri, creând probleme serioase în menținerea operațiunilor agricole. În acest context, intervenția Guvernului prin alocarea acestui ajutor financiar este esențială pentru asigurarea unui nivel sustenabil de dezvoltare a sectorului agricol. Ajutorul financiar va permite fermierilor să gestioneze mai bine impactul calamităților și să își mențină activitatea, contribuind astfel la stabilitatea economică a regiunilor afectate și la viabilitatea pe termen lung a afacerilor agricole.</w:t>
            </w:r>
          </w:p>
        </w:tc>
      </w:tr>
      <w:tr w:rsidR="00645815" w:rsidRPr="007F23AE" w:rsidTr="00BA77A0">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lastRenderedPageBreak/>
              <w:t>4.3. Impactul asupra sectorului privat</w:t>
            </w:r>
          </w:p>
          <w:p w:rsidR="009F5BA3" w:rsidRPr="007002B9" w:rsidRDefault="00E10CC0" w:rsidP="00645B29">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Implementarea proiectului va avea un impact pozitiv asupra sectorului privat prin sprijinirea fermierilor afectați de secetă cu fonduri directe, care vor contribui la recuperarea financiară rapidă și la continuarea activității. Această alocare de resurse va facilita investițiile în echipamente și tehnologii noi, sporind astfel competitivitatea și productivitatea. În plus, stabilitatea economică oferită de proiect va întări încrederea în sector și va reduce riscurile financiare, sprijinind dezvoltarea pe termen lung a fermelor și a economiei regionale.</w:t>
            </w:r>
          </w:p>
        </w:tc>
      </w:tr>
      <w:tr w:rsidR="00645815" w:rsidRPr="007F23AE" w:rsidTr="00BA77A0">
        <w:trPr>
          <w:trHeight w:val="72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4.4. Impactul social</w:t>
            </w:r>
          </w:p>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4.4.1. Impactul asupra datelor cu caracter personal</w:t>
            </w:r>
          </w:p>
          <w:p w:rsidR="00645B29" w:rsidRDefault="00E10CC0" w:rsidP="00645B29">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 xml:space="preserve">Implementarea proiectului va implica colectarea și prelucrarea unor date personale ale fermierilor, precum informații de identificare și detalii despre terenuri și pierderi. Acest proces va trebui să fie gestionat cu mare atenție pentru a respecta legislația privind protecția datelor cu caracter personal. Datele personale vor fi protejate împotriva accesului neautorizat și utilizării abuzive. Măsurile de securitate </w:t>
            </w:r>
            <w:r w:rsidR="00CC63E1" w:rsidRPr="007002B9">
              <w:rPr>
                <w:rFonts w:ascii="Times New Roman" w:eastAsia="Times New Roman" w:hAnsi="Times New Roman" w:cs="Times New Roman"/>
                <w:color w:val="000000"/>
                <w:sz w:val="24"/>
                <w:szCs w:val="24"/>
                <w:lang w:val="ro-MD" w:eastAsia="ru-RU"/>
              </w:rPr>
              <w:t>vor fi</w:t>
            </w:r>
            <w:r w:rsidRPr="007002B9">
              <w:rPr>
                <w:rFonts w:ascii="Times New Roman" w:eastAsia="Times New Roman" w:hAnsi="Times New Roman" w:cs="Times New Roman"/>
                <w:color w:val="000000"/>
                <w:sz w:val="24"/>
                <w:szCs w:val="24"/>
                <w:lang w:val="ro-MD" w:eastAsia="ru-RU"/>
              </w:rPr>
              <w:t xml:space="preserve"> implementate riguros pentru a menține confidențialitatea informațiilor fermierilor.</w:t>
            </w:r>
            <w:r w:rsidR="00CC63E1" w:rsidRPr="007002B9">
              <w:rPr>
                <w:rFonts w:ascii="Times New Roman" w:eastAsia="Times New Roman" w:hAnsi="Times New Roman" w:cs="Times New Roman"/>
                <w:color w:val="000000"/>
                <w:sz w:val="24"/>
                <w:szCs w:val="24"/>
                <w:lang w:val="ro-MD" w:eastAsia="ru-RU"/>
              </w:rPr>
              <w:t xml:space="preserve"> Fermierii vor fi informați clar despre modul în care datele lor vor fi colectate, stocate și utilizate. Transparența în aceste procese va contribui la menținerea încrederii și respectarea drepturilor lor.</w:t>
            </w:r>
          </w:p>
          <w:p w:rsidR="00CC63E1" w:rsidRPr="007002B9" w:rsidRDefault="00CC63E1" w:rsidP="00645B29">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Toate procesele de colectare și prelucrare a datelor vor fi conformate cu legislația națională</w:t>
            </w:r>
          </w:p>
          <w:p w:rsidR="00645815" w:rsidRPr="007002B9" w:rsidRDefault="00645815" w:rsidP="00645B29">
            <w:pPr>
              <w:spacing w:after="0" w:line="240" w:lineRule="auto"/>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4.4.2. Impactul asupra echităţii şi egalităţii de gen</w:t>
            </w:r>
          </w:p>
          <w:p w:rsidR="00F91EB9" w:rsidRPr="007002B9" w:rsidRDefault="00746F55" w:rsidP="00645B29">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Nu este aplicabil</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4.5. Impactul asupra mediului</w:t>
            </w:r>
          </w:p>
          <w:p w:rsidR="00F91EB9" w:rsidRPr="007002B9" w:rsidRDefault="00746F55" w:rsidP="00645B29">
            <w:pPr>
              <w:spacing w:after="0" w:line="240" w:lineRule="auto"/>
              <w:ind w:firstLine="452"/>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Nu este aplicabil</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4.6. Alte impacturi şi informaţi</w:t>
            </w:r>
            <w:r w:rsidR="00F91EB9" w:rsidRPr="007002B9">
              <w:rPr>
                <w:rFonts w:ascii="Times New Roman" w:eastAsia="Times New Roman" w:hAnsi="Times New Roman" w:cs="Times New Roman"/>
                <w:color w:val="000000"/>
                <w:sz w:val="24"/>
                <w:szCs w:val="24"/>
                <w:lang w:val="ro-MD" w:eastAsia="ru-RU"/>
              </w:rPr>
              <w:t>e</w:t>
            </w:r>
            <w:r w:rsidRPr="007002B9">
              <w:rPr>
                <w:rFonts w:ascii="Times New Roman" w:eastAsia="Times New Roman" w:hAnsi="Times New Roman" w:cs="Times New Roman"/>
                <w:color w:val="000000"/>
                <w:sz w:val="24"/>
                <w:szCs w:val="24"/>
                <w:lang w:val="ro-MD" w:eastAsia="ru-RU"/>
              </w:rPr>
              <w:t>i relevante</w:t>
            </w:r>
          </w:p>
          <w:p w:rsidR="00F91EB9" w:rsidRPr="007002B9" w:rsidRDefault="00CC63E1" w:rsidP="002854BD">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Proiectul va contribui la creșterea colaborării între sectorul public și privat, îmbunătățind relațiile și comunicarea între autorități și fermieri. De asemenea, va promova dezvoltarea sustenabilă în agricultură, sprijinind adoptarea de practici mai eficiente și reziliente. Impactul pozitiv va include, de asemenea, consolidarea încrederii în măsurile guvernamentale și stimularea economiei locale prin menținerea activităților agricole și a locurilor de muncă în regiunile rurale.</w:t>
            </w:r>
          </w:p>
        </w:tc>
      </w:tr>
      <w:tr w:rsidR="00645815" w:rsidRPr="007F23AE" w:rsidTr="00BA77A0">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5. Compatibilitatea proiectului actului normativ cu legislaţia UE</w:t>
            </w:r>
          </w:p>
        </w:tc>
      </w:tr>
      <w:tr w:rsidR="00645815" w:rsidRPr="007F23AE" w:rsidTr="00BA77A0">
        <w:trPr>
          <w:trHeight w:val="4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5.1. Măsuri normative necesare pentru transpunerea actelor juridice ale UE în legislaţia naţională</w:t>
            </w:r>
          </w:p>
          <w:p w:rsidR="0039360E" w:rsidRPr="007002B9" w:rsidRDefault="00746F5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Nu este aplicabil</w:t>
            </w:r>
          </w:p>
        </w:tc>
      </w:tr>
      <w:tr w:rsidR="00645815" w:rsidRPr="007F23AE" w:rsidTr="00BA77A0">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5.2. Măsuri normative care urmăresc crearea cadrului juridic intern necesar pentru implementarea legislaţiei UE</w:t>
            </w:r>
          </w:p>
          <w:p w:rsidR="00221596" w:rsidRPr="007002B9" w:rsidRDefault="00746F5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Nu este aplicabil</w:t>
            </w:r>
          </w:p>
        </w:tc>
      </w:tr>
      <w:tr w:rsidR="00645815" w:rsidRPr="007F23AE" w:rsidTr="00BA77A0">
        <w:trPr>
          <w:trHeight w:val="252"/>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6. Avizarea şi consultarea publică a proiectului actului normativ</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42DE6" w:rsidRPr="00F42DE6" w:rsidRDefault="00F42DE6" w:rsidP="00F42DE6">
            <w:pPr>
              <w:spacing w:after="0" w:line="240" w:lineRule="auto"/>
              <w:ind w:firstLine="452"/>
              <w:rPr>
                <w:rFonts w:ascii="Times New Roman" w:hAnsi="Times New Roman" w:cs="Times New Roman"/>
                <w:sz w:val="24"/>
                <w:szCs w:val="24"/>
                <w:lang w:val="en-US"/>
              </w:rPr>
            </w:pPr>
            <w:r w:rsidRPr="00F42DE6">
              <w:rPr>
                <w:rFonts w:ascii="Times New Roman" w:hAnsi="Times New Roman" w:cs="Times New Roman"/>
                <w:sz w:val="24"/>
                <w:szCs w:val="24"/>
              </w:rPr>
              <w:t>Proiectul a fost publicat spre consultări publice în conformitate cu Legea nr.</w:t>
            </w:r>
            <w:r w:rsidRPr="00F42DE6">
              <w:rPr>
                <w:rFonts w:ascii="Times New Roman" w:hAnsi="Times New Roman" w:cs="Times New Roman"/>
                <w:sz w:val="24"/>
                <w:szCs w:val="24"/>
                <w:lang w:val="ru-RU"/>
              </w:rPr>
              <w:t>239/2008 privind transparenţa în procesul decizional</w:t>
            </w:r>
            <w:r w:rsidRPr="00F42DE6">
              <w:rPr>
                <w:rFonts w:ascii="Times New Roman" w:hAnsi="Times New Roman" w:cs="Times New Roman"/>
                <w:sz w:val="24"/>
                <w:szCs w:val="24"/>
                <w:lang w:val="en-US"/>
              </w:rPr>
              <w:t>.</w:t>
            </w:r>
          </w:p>
          <w:p w:rsidR="00F42DE6" w:rsidRPr="00F42DE6" w:rsidRDefault="00F42DE6" w:rsidP="00F42DE6">
            <w:pPr>
              <w:spacing w:after="0" w:line="240" w:lineRule="auto"/>
              <w:ind w:firstLine="452"/>
              <w:rPr>
                <w:rFonts w:ascii="Times New Roman" w:hAnsi="Times New Roman" w:cs="Times New Roman"/>
                <w:sz w:val="24"/>
                <w:szCs w:val="24"/>
                <w:lang w:val="ru-RU"/>
              </w:rPr>
            </w:pPr>
            <w:hyperlink r:id="rId8" w:history="1">
              <w:r w:rsidRPr="00F42DE6">
                <w:rPr>
                  <w:rStyle w:val="Hyperlink"/>
                  <w:rFonts w:ascii="Times New Roman" w:hAnsi="Times New Roman" w:cs="Times New Roman"/>
                  <w:sz w:val="24"/>
                  <w:szCs w:val="24"/>
                  <w:lang w:val="ro-MD"/>
                </w:rPr>
                <w:t>https://particip.gov.md/ro/document/stages/anunt-privind-initierea-a-proiectului-de-hotarare-de-guvern-cu-privire-la-alocarea-mijloacelor-financiare/13074</w:t>
              </w:r>
            </w:hyperlink>
            <w:r w:rsidRPr="00F42DE6">
              <w:rPr>
                <w:rFonts w:ascii="Times New Roman" w:hAnsi="Times New Roman" w:cs="Times New Roman"/>
                <w:sz w:val="24"/>
                <w:szCs w:val="24"/>
                <w:lang w:val="ro-MD"/>
              </w:rPr>
              <w:t xml:space="preserve"> </w:t>
            </w:r>
          </w:p>
          <w:p w:rsidR="00645815" w:rsidRPr="007002B9" w:rsidRDefault="00F42DE6" w:rsidP="00F42DE6">
            <w:pPr>
              <w:spacing w:after="0" w:line="240" w:lineRule="auto"/>
              <w:ind w:firstLine="452"/>
              <w:rPr>
                <w:rFonts w:ascii="Times New Roman" w:eastAsia="Times New Roman" w:hAnsi="Times New Roman" w:cs="Times New Roman"/>
                <w:color w:val="000000"/>
                <w:sz w:val="24"/>
                <w:szCs w:val="24"/>
                <w:lang w:val="ro-MD" w:eastAsia="ru-RU"/>
              </w:rPr>
            </w:pPr>
            <w:r w:rsidRPr="00F42DE6">
              <w:rPr>
                <w:rFonts w:ascii="Times New Roman" w:hAnsi="Times New Roman" w:cs="Times New Roman"/>
                <w:sz w:val="24"/>
                <w:szCs w:val="24"/>
                <w:lang w:val="ro-MD"/>
              </w:rPr>
              <w:t>Proiectul de Hotărâre de Guvern va fi consultat și avizat în conformitate cu prevederile Legii nr. 100/2017.</w:t>
            </w:r>
            <w:bookmarkStart w:id="0" w:name="_GoBack"/>
            <w:bookmarkEnd w:id="0"/>
          </w:p>
        </w:tc>
      </w:tr>
      <w:tr w:rsidR="00645815" w:rsidRPr="00645815"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t>7. Concluziile expertizelor</w:t>
            </w:r>
          </w:p>
        </w:tc>
      </w:tr>
      <w:tr w:rsidR="00645815" w:rsidRPr="00645815"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42DE6" w:rsidRPr="00F42DE6" w:rsidRDefault="00F42DE6" w:rsidP="00F42DE6">
            <w:pPr>
              <w:spacing w:after="0"/>
              <w:ind w:firstLine="452"/>
              <w:jc w:val="both"/>
              <w:rPr>
                <w:rFonts w:ascii="Times New Roman" w:eastAsia="Times New Roman" w:hAnsi="Times New Roman" w:cs="Times New Roman"/>
                <w:color w:val="000000"/>
                <w:sz w:val="24"/>
                <w:szCs w:val="24"/>
                <w:lang w:val="ro-MD" w:eastAsia="ru-RU"/>
              </w:rPr>
            </w:pPr>
            <w:r w:rsidRPr="00F42DE6">
              <w:rPr>
                <w:rFonts w:ascii="Times New Roman" w:eastAsia="Times New Roman" w:hAnsi="Times New Roman" w:cs="Times New Roman"/>
                <w:color w:val="000000"/>
                <w:sz w:val="24"/>
                <w:szCs w:val="24"/>
                <w:lang w:val="ro-MD" w:eastAsia="ru-RU"/>
              </w:rPr>
              <w:t>Raportul de Expertiză Anticorupție Nr. EHG24/9963 din 03.09.2024 concluzionează că, potrivit notei informative, proiectul are drept scop acordarea sprijinului fermierilor afectați de secetă, sub formă de plată directă per hectar, pentru compensarea parțială a pierderilor suferite de producătorii agricoli și asigurarea acestora cu resursele necesare pentru continuarea activității agricole.</w:t>
            </w:r>
          </w:p>
          <w:p w:rsidR="00F42DE6" w:rsidRPr="00F42DE6" w:rsidRDefault="00F42DE6" w:rsidP="00F42DE6">
            <w:pPr>
              <w:spacing w:after="0"/>
              <w:ind w:firstLine="452"/>
              <w:jc w:val="both"/>
              <w:rPr>
                <w:rFonts w:ascii="Times New Roman" w:eastAsia="Times New Roman" w:hAnsi="Times New Roman" w:cs="Times New Roman"/>
                <w:color w:val="000000"/>
                <w:sz w:val="24"/>
                <w:szCs w:val="24"/>
                <w:lang w:val="ro-MD" w:eastAsia="ru-RU"/>
              </w:rPr>
            </w:pPr>
            <w:r w:rsidRPr="00F42DE6">
              <w:rPr>
                <w:rFonts w:ascii="Times New Roman" w:eastAsia="Times New Roman" w:hAnsi="Times New Roman" w:cs="Times New Roman"/>
                <w:color w:val="000000"/>
                <w:sz w:val="24"/>
                <w:szCs w:val="24"/>
                <w:lang w:val="ro-MD" w:eastAsia="ru-RU"/>
              </w:rPr>
              <w:t xml:space="preserve">Autorul a prezentat Sinteza avizelor parvenite în cadrul procesului de consultare publică a proiectului de către autoritățile responsabile de implementarea prevederilor conţinute în proiect/instituţiilor interesate, fapt ce denotă </w:t>
            </w:r>
            <w:r w:rsidRPr="00F42DE6">
              <w:rPr>
                <w:rFonts w:ascii="Times New Roman" w:eastAsia="Times New Roman" w:hAnsi="Times New Roman" w:cs="Times New Roman"/>
                <w:color w:val="000000"/>
                <w:sz w:val="24"/>
                <w:szCs w:val="24"/>
                <w:lang w:val="ro-MD" w:eastAsia="ru-RU"/>
              </w:rPr>
              <w:lastRenderedPageBreak/>
              <w:t>aspectul definitivat al acestuia și întrunirea condițiilor stabilite de prevederile art.28 al Legii integrităţii nr.82 din 25 mai 2017 - pentru efectuarea expertizei anticorupție.</w:t>
            </w:r>
          </w:p>
          <w:p w:rsidR="00F42DE6" w:rsidRPr="00F42DE6" w:rsidRDefault="00F42DE6" w:rsidP="00F42DE6">
            <w:pPr>
              <w:spacing w:after="0"/>
              <w:ind w:firstLine="452"/>
              <w:jc w:val="both"/>
              <w:rPr>
                <w:rFonts w:ascii="Times New Roman" w:eastAsia="Times New Roman" w:hAnsi="Times New Roman" w:cs="Times New Roman"/>
                <w:color w:val="000000"/>
                <w:sz w:val="24"/>
                <w:szCs w:val="24"/>
                <w:lang w:val="ro-MD" w:eastAsia="ru-RU"/>
              </w:rPr>
            </w:pPr>
            <w:r w:rsidRPr="00F42DE6">
              <w:rPr>
                <w:rFonts w:ascii="Times New Roman" w:eastAsia="Times New Roman" w:hAnsi="Times New Roman" w:cs="Times New Roman"/>
                <w:color w:val="000000"/>
                <w:sz w:val="24"/>
                <w:szCs w:val="24"/>
                <w:lang w:val="ro-MD" w:eastAsia="ru-RU"/>
              </w:rPr>
              <w:t>În procesul de promovare a proiectului, au fost respectate rigorile de asigurare a transparenţei decizionale statuate de prevederile art.8 lit.a)-d) al Legii nr. 239-XVI din 13 noiembrie 2008 privind transparenţa în procesul decizional. Nota de argumentare a proiectului a fost structurată potrivit exigențelor Legii nr.100/2017.</w:t>
            </w:r>
          </w:p>
          <w:p w:rsidR="00F42DE6" w:rsidRPr="00F42DE6" w:rsidRDefault="00F42DE6" w:rsidP="00F42DE6">
            <w:pPr>
              <w:spacing w:after="0"/>
              <w:ind w:firstLine="452"/>
              <w:jc w:val="both"/>
              <w:rPr>
                <w:rFonts w:ascii="Times New Roman" w:eastAsia="Times New Roman" w:hAnsi="Times New Roman" w:cs="Times New Roman"/>
                <w:color w:val="000000"/>
                <w:sz w:val="24"/>
                <w:szCs w:val="24"/>
                <w:lang w:val="ro-MD" w:eastAsia="ru-RU"/>
              </w:rPr>
            </w:pPr>
            <w:r w:rsidRPr="00F42DE6">
              <w:rPr>
                <w:rFonts w:ascii="Times New Roman" w:eastAsia="Times New Roman" w:hAnsi="Times New Roman" w:cs="Times New Roman"/>
                <w:color w:val="000000"/>
                <w:sz w:val="24"/>
                <w:szCs w:val="24"/>
                <w:lang w:val="ro-MD" w:eastAsia="ru-RU"/>
              </w:rPr>
              <w:t>Proiectul a fost avizat regulamentar de către Ministerul Finanţelor potrivit exigențelor prescrise de pct.12 al Regulamentului privind gestionarea fondurilor de urgenţă ale Guvernului aprobat prin Hotărîrea Guvernului nr.862 din 18 decembrie 2015.</w:t>
            </w:r>
          </w:p>
          <w:p w:rsidR="00F42DE6" w:rsidRPr="00F42DE6" w:rsidRDefault="00F42DE6" w:rsidP="00F42DE6">
            <w:pPr>
              <w:spacing w:after="0"/>
              <w:ind w:firstLine="452"/>
              <w:jc w:val="both"/>
              <w:rPr>
                <w:rFonts w:ascii="Times New Roman" w:eastAsia="Times New Roman" w:hAnsi="Times New Roman" w:cs="Times New Roman"/>
                <w:color w:val="000000"/>
                <w:sz w:val="24"/>
                <w:szCs w:val="24"/>
                <w:lang w:val="ro-MD" w:eastAsia="ru-RU"/>
              </w:rPr>
            </w:pPr>
            <w:r w:rsidRPr="00F42DE6">
              <w:rPr>
                <w:rFonts w:ascii="Times New Roman" w:eastAsia="Times New Roman" w:hAnsi="Times New Roman" w:cs="Times New Roman"/>
                <w:color w:val="000000"/>
                <w:sz w:val="24"/>
                <w:szCs w:val="24"/>
                <w:lang w:val="ro-MD" w:eastAsia="ru-RU"/>
              </w:rPr>
              <w:t>Implementarea prevederilor propuse, poate contribui la realizarea interesului public vizat de proiect, fapt care nu este detrimentul interesului public general (în sensul prevăzut de prevederile Legii integrităţii nr.82 din 25 mai 2017).</w:t>
            </w:r>
          </w:p>
          <w:p w:rsidR="00645815" w:rsidRPr="007002B9" w:rsidRDefault="00F42DE6" w:rsidP="00F42DE6">
            <w:pPr>
              <w:spacing w:after="0"/>
              <w:ind w:firstLine="452"/>
              <w:jc w:val="both"/>
              <w:rPr>
                <w:rFonts w:ascii="Times New Roman" w:eastAsia="Times New Roman" w:hAnsi="Times New Roman" w:cs="Times New Roman"/>
                <w:color w:val="000000"/>
                <w:sz w:val="24"/>
                <w:szCs w:val="24"/>
                <w:lang w:val="ro-MD" w:eastAsia="ru-RU"/>
              </w:rPr>
            </w:pPr>
            <w:r w:rsidRPr="00F42DE6">
              <w:rPr>
                <w:rFonts w:ascii="Times New Roman" w:eastAsia="Times New Roman" w:hAnsi="Times New Roman" w:cs="Times New Roman"/>
                <w:color w:val="000000"/>
                <w:sz w:val="24"/>
                <w:szCs w:val="24"/>
                <w:lang w:val="ro-MD" w:eastAsia="ru-RU"/>
              </w:rPr>
              <w:t>La fel proiectul a fost avizat regulamentar de către Ministerului Justiției, nr. 04/1-8082 din 02.09.2024, iar propunerile au fost luate în considerație și integrate in sinteza obiecțiilor și propunerilor (recomandărilor) la proiect.</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002B9" w:rsidRDefault="00645815" w:rsidP="00645815">
            <w:pPr>
              <w:spacing w:after="0" w:line="240" w:lineRule="auto"/>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b/>
                <w:bCs/>
                <w:color w:val="000000"/>
                <w:sz w:val="24"/>
                <w:szCs w:val="24"/>
                <w:lang w:val="ro-MD" w:eastAsia="ru-RU"/>
              </w:rPr>
              <w:lastRenderedPageBreak/>
              <w:t>8. Modul de încorporare a actului în cadrul normativ existent</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74109" w:rsidRDefault="00E74109" w:rsidP="00E74109">
            <w:pPr>
              <w:spacing w:after="0" w:line="240" w:lineRule="auto"/>
              <w:ind w:firstLine="452"/>
              <w:jc w:val="both"/>
              <w:rPr>
                <w:rFonts w:ascii="Times New Roman" w:eastAsia="Times New Roman" w:hAnsi="Times New Roman" w:cs="Times New Roman"/>
                <w:color w:val="000000"/>
                <w:sz w:val="24"/>
                <w:szCs w:val="24"/>
                <w:lang w:eastAsia="ru-RU"/>
              </w:rPr>
            </w:pPr>
            <w:r w:rsidRPr="00E74109">
              <w:rPr>
                <w:rFonts w:ascii="Times New Roman" w:eastAsia="Times New Roman" w:hAnsi="Times New Roman" w:cs="Times New Roman"/>
                <w:color w:val="000000"/>
                <w:sz w:val="24"/>
                <w:szCs w:val="24"/>
                <w:lang w:eastAsia="ru-RU"/>
              </w:rPr>
              <w:t>Proiectul se</w:t>
            </w:r>
            <w:r>
              <w:rPr>
                <w:rFonts w:ascii="Times New Roman" w:eastAsia="Times New Roman" w:hAnsi="Times New Roman" w:cs="Times New Roman"/>
                <w:color w:val="000000"/>
                <w:sz w:val="24"/>
                <w:szCs w:val="24"/>
                <w:lang w:eastAsia="ru-RU"/>
              </w:rPr>
              <w:t xml:space="preserve"> încorporează în cadrul normativ existent, iar eventuala aprobare a acestuia nu va implica modificarea sau abrogarea unor acte normative.</w:t>
            </w:r>
          </w:p>
        </w:tc>
      </w:tr>
      <w:tr w:rsidR="00645815" w:rsidRPr="007F23AE" w:rsidTr="00BA77A0">
        <w:trPr>
          <w:trHeight w:val="489"/>
        </w:trPr>
        <w:tc>
          <w:tcPr>
            <w:tcW w:w="0" w:type="auto"/>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74109" w:rsidRDefault="00645815" w:rsidP="00645815">
            <w:pPr>
              <w:spacing w:after="0" w:line="240" w:lineRule="auto"/>
              <w:rPr>
                <w:rFonts w:ascii="Times New Roman" w:eastAsia="Times New Roman" w:hAnsi="Times New Roman" w:cs="Times New Roman"/>
                <w:color w:val="000000"/>
                <w:sz w:val="24"/>
                <w:szCs w:val="24"/>
                <w:lang w:eastAsia="ru-RU"/>
              </w:rPr>
            </w:pPr>
            <w:r w:rsidRPr="00E74109">
              <w:rPr>
                <w:rFonts w:ascii="Times New Roman" w:eastAsia="Times New Roman" w:hAnsi="Times New Roman" w:cs="Times New Roman"/>
                <w:b/>
                <w:bCs/>
                <w:color w:val="000000"/>
                <w:sz w:val="24"/>
                <w:szCs w:val="24"/>
                <w:lang w:eastAsia="ru-RU"/>
              </w:rPr>
              <w:t>9. Măsurile necesare pentru implementarea prevederilor proiectului actului normativ</w:t>
            </w:r>
          </w:p>
        </w:tc>
      </w:tr>
      <w:tr w:rsidR="00645815" w:rsidRPr="007F23AE" w:rsidTr="00BA77A0">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361E2" w:rsidRPr="007002B9" w:rsidRDefault="00C361E2" w:rsidP="00E74109">
            <w:pPr>
              <w:spacing w:after="0" w:line="240" w:lineRule="auto"/>
              <w:ind w:firstLine="452"/>
              <w:jc w:val="both"/>
              <w:rPr>
                <w:rFonts w:ascii="Times New Roman" w:eastAsia="Times New Roman" w:hAnsi="Times New Roman" w:cs="Times New Roman"/>
                <w:color w:val="000000"/>
                <w:sz w:val="24"/>
                <w:szCs w:val="24"/>
                <w:lang w:val="ro-MD" w:eastAsia="ru-RU"/>
              </w:rPr>
            </w:pPr>
            <w:r w:rsidRPr="007002B9">
              <w:rPr>
                <w:rFonts w:ascii="Times New Roman" w:eastAsia="Times New Roman" w:hAnsi="Times New Roman" w:cs="Times New Roman"/>
                <w:color w:val="000000"/>
                <w:sz w:val="24"/>
                <w:szCs w:val="24"/>
                <w:lang w:val="ro-MD" w:eastAsia="ru-RU"/>
              </w:rPr>
              <w:t>Implementarea proiectului va fi asigurată de Agenția de Intervenție și Plăți pentru Agricultură.</w:t>
            </w:r>
          </w:p>
          <w:p w:rsidR="00AE0809" w:rsidRPr="007002B9" w:rsidRDefault="00C361E2" w:rsidP="00C361E2">
            <w:pPr>
              <w:spacing w:after="0" w:line="240" w:lineRule="auto"/>
              <w:jc w:val="both"/>
              <w:rPr>
                <w:rFonts w:ascii="Times New Roman" w:eastAsia="Times New Roman" w:hAnsi="Times New Roman" w:cs="Times New Roman"/>
                <w:color w:val="000000"/>
                <w:sz w:val="24"/>
                <w:szCs w:val="24"/>
                <w:lang w:eastAsia="ru-RU"/>
              </w:rPr>
            </w:pPr>
            <w:r w:rsidRPr="007002B9">
              <w:rPr>
                <w:rFonts w:ascii="Times New Roman" w:eastAsia="Times New Roman" w:hAnsi="Times New Roman" w:cs="Times New Roman"/>
                <w:color w:val="000000"/>
                <w:sz w:val="24"/>
                <w:szCs w:val="24"/>
                <w:lang w:val="ro-MD" w:eastAsia="ru-RU"/>
              </w:rPr>
              <w:t>Intervenția propusă nu necesită schimbări instituționale, precum și modificarea cadrului normativ existent</w:t>
            </w:r>
            <w:r w:rsidRPr="007002B9">
              <w:rPr>
                <w:rFonts w:ascii="Times New Roman" w:eastAsia="Times New Roman" w:hAnsi="Times New Roman" w:cs="Times New Roman"/>
                <w:color w:val="000000"/>
                <w:sz w:val="24"/>
                <w:szCs w:val="24"/>
                <w:lang w:eastAsia="ru-RU"/>
              </w:rPr>
              <w:t>.</w:t>
            </w:r>
          </w:p>
        </w:tc>
      </w:tr>
      <w:tr w:rsidR="00645815" w:rsidRPr="007F23AE" w:rsidTr="00BA77A0">
        <w:trPr>
          <w:trHeight w:val="237"/>
        </w:trPr>
        <w:tc>
          <w:tcPr>
            <w:tcW w:w="0" w:type="auto"/>
            <w:tcBorders>
              <w:top w:val="single" w:sz="6" w:space="0" w:color="000000"/>
              <w:left w:val="nil"/>
              <w:bottom w:val="nil"/>
              <w:right w:val="nil"/>
            </w:tcBorders>
            <w:shd w:val="clear" w:color="auto" w:fill="FFFFFF"/>
            <w:tcMar>
              <w:top w:w="24" w:type="dxa"/>
              <w:left w:w="48" w:type="dxa"/>
              <w:bottom w:w="24" w:type="dxa"/>
              <w:right w:w="48" w:type="dxa"/>
            </w:tcMar>
            <w:hideMark/>
          </w:tcPr>
          <w:p w:rsidR="00645815" w:rsidRPr="007002B9" w:rsidRDefault="00645815" w:rsidP="00645815">
            <w:pPr>
              <w:spacing w:after="0" w:line="240" w:lineRule="auto"/>
              <w:rPr>
                <w:rFonts w:ascii="Arial" w:eastAsia="Times New Roman" w:hAnsi="Arial" w:cs="Arial"/>
                <w:color w:val="000000"/>
                <w:sz w:val="24"/>
                <w:szCs w:val="24"/>
                <w:lang w:val="en-US" w:eastAsia="ru-RU"/>
              </w:rPr>
            </w:pPr>
            <w:r w:rsidRPr="007002B9">
              <w:rPr>
                <w:rFonts w:ascii="Arial" w:eastAsia="Times New Roman" w:hAnsi="Arial" w:cs="Arial"/>
                <w:color w:val="000000"/>
                <w:sz w:val="24"/>
                <w:szCs w:val="24"/>
                <w:lang w:val="en-US" w:eastAsia="ru-RU"/>
              </w:rPr>
              <w:t> </w:t>
            </w:r>
          </w:p>
        </w:tc>
      </w:tr>
    </w:tbl>
    <w:p w:rsidR="00746F55" w:rsidRDefault="00840CFE" w:rsidP="00840CFE">
      <w:pPr>
        <w:tabs>
          <w:tab w:val="left" w:pos="3780"/>
        </w:tabs>
        <w:rPr>
          <w:rFonts w:ascii="Times New Roman" w:hAnsi="Times New Roman" w:cs="Times New Roman"/>
          <w:sz w:val="24"/>
          <w:szCs w:val="24"/>
          <w:lang w:val="en-US"/>
        </w:rPr>
      </w:pPr>
      <w:r>
        <w:rPr>
          <w:rFonts w:ascii="Times New Roman" w:hAnsi="Times New Roman" w:cs="Times New Roman"/>
          <w:sz w:val="24"/>
          <w:szCs w:val="24"/>
          <w:lang w:val="en-US"/>
        </w:rPr>
        <w:tab/>
      </w:r>
    </w:p>
    <w:p w:rsidR="00746F55" w:rsidRPr="00831E4E" w:rsidRDefault="00831E4E" w:rsidP="00831E4E">
      <w:pPr>
        <w:tabs>
          <w:tab w:val="left" w:pos="3780"/>
        </w:tabs>
        <w:rPr>
          <w:rFonts w:ascii="Times New Roman" w:hAnsi="Times New Roman" w:cs="Times New Roman"/>
          <w:sz w:val="28"/>
          <w:szCs w:val="28"/>
          <w:lang w:val="en-US"/>
        </w:rPr>
      </w:pPr>
      <w:r>
        <w:rPr>
          <w:rFonts w:ascii="Times New Roman" w:hAnsi="Times New Roman" w:cs="Times New Roman"/>
          <w:b/>
          <w:sz w:val="28"/>
          <w:szCs w:val="28"/>
        </w:rPr>
        <w:t>Secretară de Stat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31E4E">
        <w:rPr>
          <w:rFonts w:ascii="Times New Roman" w:hAnsi="Times New Roman" w:cs="Times New Roman"/>
          <w:b/>
          <w:sz w:val="28"/>
          <w:szCs w:val="28"/>
        </w:rPr>
        <w:tab/>
        <w:t>Alexandra</w:t>
      </w:r>
      <w:r w:rsidR="008B51BB">
        <w:rPr>
          <w:rFonts w:ascii="Times New Roman" w:hAnsi="Times New Roman" w:cs="Times New Roman"/>
          <w:b/>
          <w:sz w:val="28"/>
          <w:szCs w:val="28"/>
        </w:rPr>
        <w:t xml:space="preserve"> </w:t>
      </w:r>
      <w:r w:rsidRPr="00831E4E">
        <w:rPr>
          <w:rFonts w:ascii="Times New Roman" w:hAnsi="Times New Roman" w:cs="Times New Roman"/>
          <w:b/>
          <w:sz w:val="28"/>
          <w:szCs w:val="28"/>
        </w:rPr>
        <w:t xml:space="preserve">ȘIAN </w:t>
      </w:r>
    </w:p>
    <w:sectPr w:rsidR="00746F55" w:rsidRPr="00831E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C90" w:rsidRDefault="00E44C90" w:rsidP="00D80DCA">
      <w:pPr>
        <w:spacing w:after="0" w:line="240" w:lineRule="auto"/>
      </w:pPr>
      <w:r>
        <w:separator/>
      </w:r>
    </w:p>
  </w:endnote>
  <w:endnote w:type="continuationSeparator" w:id="0">
    <w:p w:rsidR="00E44C90" w:rsidRDefault="00E44C90" w:rsidP="00D8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C90" w:rsidRDefault="00E44C90" w:rsidP="00D80DCA">
      <w:pPr>
        <w:spacing w:after="0" w:line="240" w:lineRule="auto"/>
      </w:pPr>
      <w:r>
        <w:separator/>
      </w:r>
    </w:p>
  </w:footnote>
  <w:footnote w:type="continuationSeparator" w:id="0">
    <w:p w:rsidR="00E44C90" w:rsidRDefault="00E44C90" w:rsidP="00D80D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F032A"/>
    <w:multiLevelType w:val="hybridMultilevel"/>
    <w:tmpl w:val="FE2C66D2"/>
    <w:lvl w:ilvl="0" w:tplc="3600FBE6">
      <w:start w:val="3"/>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nsid w:val="1F460636"/>
    <w:multiLevelType w:val="multilevel"/>
    <w:tmpl w:val="FC88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222EC7"/>
    <w:multiLevelType w:val="hybridMultilevel"/>
    <w:tmpl w:val="4D60B6F4"/>
    <w:lvl w:ilvl="0" w:tplc="3600FBE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15"/>
    <w:rsid w:val="00012899"/>
    <w:rsid w:val="0002380D"/>
    <w:rsid w:val="00051575"/>
    <w:rsid w:val="00077835"/>
    <w:rsid w:val="000F1049"/>
    <w:rsid w:val="00107A3F"/>
    <w:rsid w:val="0012190F"/>
    <w:rsid w:val="00136C7F"/>
    <w:rsid w:val="0016076C"/>
    <w:rsid w:val="00182F70"/>
    <w:rsid w:val="001915C2"/>
    <w:rsid w:val="001941ED"/>
    <w:rsid w:val="001C44A1"/>
    <w:rsid w:val="00215F1A"/>
    <w:rsid w:val="00221596"/>
    <w:rsid w:val="002435D4"/>
    <w:rsid w:val="00250D3F"/>
    <w:rsid w:val="002854BD"/>
    <w:rsid w:val="00285DEB"/>
    <w:rsid w:val="00292353"/>
    <w:rsid w:val="002A134A"/>
    <w:rsid w:val="002D55AE"/>
    <w:rsid w:val="00382E8C"/>
    <w:rsid w:val="0039360E"/>
    <w:rsid w:val="003B4C12"/>
    <w:rsid w:val="003C25C3"/>
    <w:rsid w:val="00403A9E"/>
    <w:rsid w:val="00467FF0"/>
    <w:rsid w:val="004857A1"/>
    <w:rsid w:val="004A16BC"/>
    <w:rsid w:val="004B1F2E"/>
    <w:rsid w:val="004C729F"/>
    <w:rsid w:val="00522B88"/>
    <w:rsid w:val="00562E38"/>
    <w:rsid w:val="00567813"/>
    <w:rsid w:val="00597818"/>
    <w:rsid w:val="005B77E6"/>
    <w:rsid w:val="005D72F5"/>
    <w:rsid w:val="006136F9"/>
    <w:rsid w:val="00645815"/>
    <w:rsid w:val="00645B29"/>
    <w:rsid w:val="006632E3"/>
    <w:rsid w:val="006A298B"/>
    <w:rsid w:val="006B16CA"/>
    <w:rsid w:val="007002B9"/>
    <w:rsid w:val="007136CE"/>
    <w:rsid w:val="00746F55"/>
    <w:rsid w:val="007816FB"/>
    <w:rsid w:val="007B0950"/>
    <w:rsid w:val="007F23AE"/>
    <w:rsid w:val="0082102A"/>
    <w:rsid w:val="00821DA0"/>
    <w:rsid w:val="00831E4E"/>
    <w:rsid w:val="00840CFE"/>
    <w:rsid w:val="00857A3F"/>
    <w:rsid w:val="00861CBA"/>
    <w:rsid w:val="008B51BB"/>
    <w:rsid w:val="008E0F67"/>
    <w:rsid w:val="0090410D"/>
    <w:rsid w:val="00912B7B"/>
    <w:rsid w:val="00920138"/>
    <w:rsid w:val="00965CE4"/>
    <w:rsid w:val="00993B1F"/>
    <w:rsid w:val="009B4D14"/>
    <w:rsid w:val="009B7416"/>
    <w:rsid w:val="009E5114"/>
    <w:rsid w:val="009E7988"/>
    <w:rsid w:val="009F5BA3"/>
    <w:rsid w:val="00A60CED"/>
    <w:rsid w:val="00AB32F4"/>
    <w:rsid w:val="00AE0809"/>
    <w:rsid w:val="00B631A6"/>
    <w:rsid w:val="00B877C8"/>
    <w:rsid w:val="00BA77A0"/>
    <w:rsid w:val="00BE37A5"/>
    <w:rsid w:val="00C026B0"/>
    <w:rsid w:val="00C27769"/>
    <w:rsid w:val="00C361E2"/>
    <w:rsid w:val="00C7212F"/>
    <w:rsid w:val="00C92DDE"/>
    <w:rsid w:val="00CC63E1"/>
    <w:rsid w:val="00CE7576"/>
    <w:rsid w:val="00CF5C96"/>
    <w:rsid w:val="00D65147"/>
    <w:rsid w:val="00D80DCA"/>
    <w:rsid w:val="00D834E9"/>
    <w:rsid w:val="00D90004"/>
    <w:rsid w:val="00DA103B"/>
    <w:rsid w:val="00DA30DF"/>
    <w:rsid w:val="00DB4203"/>
    <w:rsid w:val="00E02592"/>
    <w:rsid w:val="00E10CC0"/>
    <w:rsid w:val="00E407E0"/>
    <w:rsid w:val="00E44C90"/>
    <w:rsid w:val="00E51156"/>
    <w:rsid w:val="00E7304C"/>
    <w:rsid w:val="00E74109"/>
    <w:rsid w:val="00E85B48"/>
    <w:rsid w:val="00ED0679"/>
    <w:rsid w:val="00F16D65"/>
    <w:rsid w:val="00F42DE6"/>
    <w:rsid w:val="00F91EB9"/>
    <w:rsid w:val="00FC71E1"/>
    <w:rsid w:val="00FD377B"/>
    <w:rsid w:val="00FF7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B5572-514D-4B1D-976F-D359C033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CED"/>
    <w:rPr>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extnBalon">
    <w:name w:val="Balloon Text"/>
    <w:basedOn w:val="Normal"/>
    <w:link w:val="TextnBalonCaracter"/>
    <w:uiPriority w:val="99"/>
    <w:semiHidden/>
    <w:unhideWhenUsed/>
    <w:rsid w:val="00E730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7304C"/>
    <w:rPr>
      <w:rFonts w:ascii="Segoe UI" w:hAnsi="Segoe UI" w:cs="Segoe UI"/>
      <w:sz w:val="18"/>
      <w:szCs w:val="18"/>
    </w:rPr>
  </w:style>
  <w:style w:type="paragraph" w:styleId="Listparagraf">
    <w:name w:val="List Paragraph"/>
    <w:basedOn w:val="Normal"/>
    <w:uiPriority w:val="34"/>
    <w:qFormat/>
    <w:rsid w:val="006A298B"/>
    <w:pPr>
      <w:ind w:left="720"/>
      <w:contextualSpacing/>
    </w:pPr>
  </w:style>
  <w:style w:type="character" w:styleId="Hyperlink">
    <w:name w:val="Hyperlink"/>
    <w:basedOn w:val="Fontdeparagrafimplicit"/>
    <w:uiPriority w:val="99"/>
    <w:unhideWhenUsed/>
    <w:rsid w:val="004B1F2E"/>
    <w:rPr>
      <w:color w:val="0563C1" w:themeColor="hyperlink"/>
      <w:u w:val="single"/>
    </w:rPr>
  </w:style>
  <w:style w:type="paragraph" w:styleId="Antet">
    <w:name w:val="header"/>
    <w:basedOn w:val="Normal"/>
    <w:link w:val="AntetCaracter"/>
    <w:uiPriority w:val="99"/>
    <w:unhideWhenUsed/>
    <w:rsid w:val="00D80DCA"/>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D80DCA"/>
    <w:rPr>
      <w:lang w:val="ro-RO"/>
    </w:rPr>
  </w:style>
  <w:style w:type="paragraph" w:styleId="Subsol">
    <w:name w:val="footer"/>
    <w:basedOn w:val="Normal"/>
    <w:link w:val="SubsolCaracter"/>
    <w:uiPriority w:val="99"/>
    <w:unhideWhenUsed/>
    <w:rsid w:val="00D80DCA"/>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D80DC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2585">
      <w:bodyDiv w:val="1"/>
      <w:marLeft w:val="0"/>
      <w:marRight w:val="0"/>
      <w:marTop w:val="0"/>
      <w:marBottom w:val="0"/>
      <w:divBdr>
        <w:top w:val="none" w:sz="0" w:space="0" w:color="auto"/>
        <w:left w:val="none" w:sz="0" w:space="0" w:color="auto"/>
        <w:bottom w:val="none" w:sz="0" w:space="0" w:color="auto"/>
        <w:right w:val="none" w:sz="0" w:space="0" w:color="auto"/>
      </w:divBdr>
      <w:divsChild>
        <w:div w:id="468018366">
          <w:marLeft w:val="0"/>
          <w:marRight w:val="0"/>
          <w:marTop w:val="0"/>
          <w:marBottom w:val="0"/>
          <w:divBdr>
            <w:top w:val="none" w:sz="0" w:space="0" w:color="auto"/>
            <w:left w:val="none" w:sz="0" w:space="0" w:color="auto"/>
            <w:bottom w:val="none" w:sz="0" w:space="0" w:color="auto"/>
            <w:right w:val="none" w:sz="0" w:space="0" w:color="auto"/>
          </w:divBdr>
          <w:divsChild>
            <w:div w:id="427581204">
              <w:marLeft w:val="0"/>
              <w:marRight w:val="0"/>
              <w:marTop w:val="0"/>
              <w:marBottom w:val="0"/>
              <w:divBdr>
                <w:top w:val="none" w:sz="0" w:space="0" w:color="auto"/>
                <w:left w:val="none" w:sz="0" w:space="0" w:color="auto"/>
                <w:bottom w:val="none" w:sz="0" w:space="0" w:color="auto"/>
                <w:right w:val="none" w:sz="0" w:space="0" w:color="auto"/>
              </w:divBdr>
              <w:divsChild>
                <w:div w:id="1743599040">
                  <w:marLeft w:val="0"/>
                  <w:marRight w:val="0"/>
                  <w:marTop w:val="0"/>
                  <w:marBottom w:val="0"/>
                  <w:divBdr>
                    <w:top w:val="none" w:sz="0" w:space="0" w:color="auto"/>
                    <w:left w:val="none" w:sz="0" w:space="0" w:color="auto"/>
                    <w:bottom w:val="none" w:sz="0" w:space="0" w:color="auto"/>
                    <w:right w:val="none" w:sz="0" w:space="0" w:color="auto"/>
                  </w:divBdr>
                  <w:divsChild>
                    <w:div w:id="1472208107">
                      <w:marLeft w:val="0"/>
                      <w:marRight w:val="0"/>
                      <w:marTop w:val="0"/>
                      <w:marBottom w:val="0"/>
                      <w:divBdr>
                        <w:top w:val="none" w:sz="0" w:space="0" w:color="auto"/>
                        <w:left w:val="none" w:sz="0" w:space="0" w:color="auto"/>
                        <w:bottom w:val="none" w:sz="0" w:space="0" w:color="auto"/>
                        <w:right w:val="none" w:sz="0" w:space="0" w:color="auto"/>
                      </w:divBdr>
                      <w:divsChild>
                        <w:div w:id="1783957904">
                          <w:marLeft w:val="0"/>
                          <w:marRight w:val="0"/>
                          <w:marTop w:val="0"/>
                          <w:marBottom w:val="0"/>
                          <w:divBdr>
                            <w:top w:val="none" w:sz="0" w:space="0" w:color="auto"/>
                            <w:left w:val="none" w:sz="0" w:space="0" w:color="auto"/>
                            <w:bottom w:val="none" w:sz="0" w:space="0" w:color="auto"/>
                            <w:right w:val="none" w:sz="0" w:space="0" w:color="auto"/>
                          </w:divBdr>
                          <w:divsChild>
                            <w:div w:id="13201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68098">
      <w:bodyDiv w:val="1"/>
      <w:marLeft w:val="0"/>
      <w:marRight w:val="0"/>
      <w:marTop w:val="0"/>
      <w:marBottom w:val="0"/>
      <w:divBdr>
        <w:top w:val="none" w:sz="0" w:space="0" w:color="auto"/>
        <w:left w:val="none" w:sz="0" w:space="0" w:color="auto"/>
        <w:bottom w:val="none" w:sz="0" w:space="0" w:color="auto"/>
        <w:right w:val="none" w:sz="0" w:space="0" w:color="auto"/>
      </w:divBdr>
      <w:divsChild>
        <w:div w:id="430467546">
          <w:marLeft w:val="0"/>
          <w:marRight w:val="0"/>
          <w:marTop w:val="0"/>
          <w:marBottom w:val="0"/>
          <w:divBdr>
            <w:top w:val="none" w:sz="0" w:space="0" w:color="auto"/>
            <w:left w:val="none" w:sz="0" w:space="0" w:color="auto"/>
            <w:bottom w:val="none" w:sz="0" w:space="0" w:color="auto"/>
            <w:right w:val="none" w:sz="0" w:space="0" w:color="auto"/>
          </w:divBdr>
          <w:divsChild>
            <w:div w:id="1099524281">
              <w:marLeft w:val="0"/>
              <w:marRight w:val="0"/>
              <w:marTop w:val="0"/>
              <w:marBottom w:val="0"/>
              <w:divBdr>
                <w:top w:val="none" w:sz="0" w:space="0" w:color="auto"/>
                <w:left w:val="none" w:sz="0" w:space="0" w:color="auto"/>
                <w:bottom w:val="none" w:sz="0" w:space="0" w:color="auto"/>
                <w:right w:val="none" w:sz="0" w:space="0" w:color="auto"/>
              </w:divBdr>
              <w:divsChild>
                <w:div w:id="1586067106">
                  <w:marLeft w:val="0"/>
                  <w:marRight w:val="0"/>
                  <w:marTop w:val="0"/>
                  <w:marBottom w:val="0"/>
                  <w:divBdr>
                    <w:top w:val="none" w:sz="0" w:space="0" w:color="auto"/>
                    <w:left w:val="none" w:sz="0" w:space="0" w:color="auto"/>
                    <w:bottom w:val="none" w:sz="0" w:space="0" w:color="auto"/>
                    <w:right w:val="none" w:sz="0" w:space="0" w:color="auto"/>
                  </w:divBdr>
                  <w:divsChild>
                    <w:div w:id="157236788">
                      <w:marLeft w:val="0"/>
                      <w:marRight w:val="0"/>
                      <w:marTop w:val="0"/>
                      <w:marBottom w:val="0"/>
                      <w:divBdr>
                        <w:top w:val="none" w:sz="0" w:space="0" w:color="auto"/>
                        <w:left w:val="none" w:sz="0" w:space="0" w:color="auto"/>
                        <w:bottom w:val="none" w:sz="0" w:space="0" w:color="auto"/>
                        <w:right w:val="none" w:sz="0" w:space="0" w:color="auto"/>
                      </w:divBdr>
                      <w:divsChild>
                        <w:div w:id="315960046">
                          <w:marLeft w:val="0"/>
                          <w:marRight w:val="0"/>
                          <w:marTop w:val="0"/>
                          <w:marBottom w:val="0"/>
                          <w:divBdr>
                            <w:top w:val="none" w:sz="0" w:space="0" w:color="auto"/>
                            <w:left w:val="none" w:sz="0" w:space="0" w:color="auto"/>
                            <w:bottom w:val="none" w:sz="0" w:space="0" w:color="auto"/>
                            <w:right w:val="none" w:sz="0" w:space="0" w:color="auto"/>
                          </w:divBdr>
                          <w:divsChild>
                            <w:div w:id="6290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7244">
      <w:bodyDiv w:val="1"/>
      <w:marLeft w:val="0"/>
      <w:marRight w:val="0"/>
      <w:marTop w:val="0"/>
      <w:marBottom w:val="0"/>
      <w:divBdr>
        <w:top w:val="none" w:sz="0" w:space="0" w:color="auto"/>
        <w:left w:val="none" w:sz="0" w:space="0" w:color="auto"/>
        <w:bottom w:val="none" w:sz="0" w:space="0" w:color="auto"/>
        <w:right w:val="none" w:sz="0" w:space="0" w:color="auto"/>
      </w:divBdr>
    </w:div>
    <w:div w:id="126093804">
      <w:bodyDiv w:val="1"/>
      <w:marLeft w:val="0"/>
      <w:marRight w:val="0"/>
      <w:marTop w:val="0"/>
      <w:marBottom w:val="0"/>
      <w:divBdr>
        <w:top w:val="none" w:sz="0" w:space="0" w:color="auto"/>
        <w:left w:val="none" w:sz="0" w:space="0" w:color="auto"/>
        <w:bottom w:val="none" w:sz="0" w:space="0" w:color="auto"/>
        <w:right w:val="none" w:sz="0" w:space="0" w:color="auto"/>
      </w:divBdr>
    </w:div>
    <w:div w:id="187764633">
      <w:bodyDiv w:val="1"/>
      <w:marLeft w:val="0"/>
      <w:marRight w:val="0"/>
      <w:marTop w:val="0"/>
      <w:marBottom w:val="0"/>
      <w:divBdr>
        <w:top w:val="none" w:sz="0" w:space="0" w:color="auto"/>
        <w:left w:val="none" w:sz="0" w:space="0" w:color="auto"/>
        <w:bottom w:val="none" w:sz="0" w:space="0" w:color="auto"/>
        <w:right w:val="none" w:sz="0" w:space="0" w:color="auto"/>
      </w:divBdr>
    </w:div>
    <w:div w:id="274756305">
      <w:bodyDiv w:val="1"/>
      <w:marLeft w:val="0"/>
      <w:marRight w:val="0"/>
      <w:marTop w:val="0"/>
      <w:marBottom w:val="0"/>
      <w:divBdr>
        <w:top w:val="none" w:sz="0" w:space="0" w:color="auto"/>
        <w:left w:val="none" w:sz="0" w:space="0" w:color="auto"/>
        <w:bottom w:val="none" w:sz="0" w:space="0" w:color="auto"/>
        <w:right w:val="none" w:sz="0" w:space="0" w:color="auto"/>
      </w:divBdr>
    </w:div>
    <w:div w:id="280382325">
      <w:bodyDiv w:val="1"/>
      <w:marLeft w:val="0"/>
      <w:marRight w:val="0"/>
      <w:marTop w:val="0"/>
      <w:marBottom w:val="0"/>
      <w:divBdr>
        <w:top w:val="none" w:sz="0" w:space="0" w:color="auto"/>
        <w:left w:val="none" w:sz="0" w:space="0" w:color="auto"/>
        <w:bottom w:val="none" w:sz="0" w:space="0" w:color="auto"/>
        <w:right w:val="none" w:sz="0" w:space="0" w:color="auto"/>
      </w:divBdr>
    </w:div>
    <w:div w:id="328028029">
      <w:bodyDiv w:val="1"/>
      <w:marLeft w:val="0"/>
      <w:marRight w:val="0"/>
      <w:marTop w:val="0"/>
      <w:marBottom w:val="0"/>
      <w:divBdr>
        <w:top w:val="none" w:sz="0" w:space="0" w:color="auto"/>
        <w:left w:val="none" w:sz="0" w:space="0" w:color="auto"/>
        <w:bottom w:val="none" w:sz="0" w:space="0" w:color="auto"/>
        <w:right w:val="none" w:sz="0" w:space="0" w:color="auto"/>
      </w:divBdr>
      <w:divsChild>
        <w:div w:id="1072653553">
          <w:marLeft w:val="0"/>
          <w:marRight w:val="0"/>
          <w:marTop w:val="0"/>
          <w:marBottom w:val="0"/>
          <w:divBdr>
            <w:top w:val="none" w:sz="0" w:space="0" w:color="auto"/>
            <w:left w:val="none" w:sz="0" w:space="0" w:color="auto"/>
            <w:bottom w:val="none" w:sz="0" w:space="0" w:color="auto"/>
            <w:right w:val="none" w:sz="0" w:space="0" w:color="auto"/>
          </w:divBdr>
        </w:div>
      </w:divsChild>
    </w:div>
    <w:div w:id="366298985">
      <w:bodyDiv w:val="1"/>
      <w:marLeft w:val="0"/>
      <w:marRight w:val="0"/>
      <w:marTop w:val="0"/>
      <w:marBottom w:val="0"/>
      <w:divBdr>
        <w:top w:val="none" w:sz="0" w:space="0" w:color="auto"/>
        <w:left w:val="none" w:sz="0" w:space="0" w:color="auto"/>
        <w:bottom w:val="none" w:sz="0" w:space="0" w:color="auto"/>
        <w:right w:val="none" w:sz="0" w:space="0" w:color="auto"/>
      </w:divBdr>
    </w:div>
    <w:div w:id="379987585">
      <w:bodyDiv w:val="1"/>
      <w:marLeft w:val="0"/>
      <w:marRight w:val="0"/>
      <w:marTop w:val="0"/>
      <w:marBottom w:val="0"/>
      <w:divBdr>
        <w:top w:val="none" w:sz="0" w:space="0" w:color="auto"/>
        <w:left w:val="none" w:sz="0" w:space="0" w:color="auto"/>
        <w:bottom w:val="none" w:sz="0" w:space="0" w:color="auto"/>
        <w:right w:val="none" w:sz="0" w:space="0" w:color="auto"/>
      </w:divBdr>
    </w:div>
    <w:div w:id="625701302">
      <w:bodyDiv w:val="1"/>
      <w:marLeft w:val="0"/>
      <w:marRight w:val="0"/>
      <w:marTop w:val="0"/>
      <w:marBottom w:val="0"/>
      <w:divBdr>
        <w:top w:val="none" w:sz="0" w:space="0" w:color="auto"/>
        <w:left w:val="none" w:sz="0" w:space="0" w:color="auto"/>
        <w:bottom w:val="none" w:sz="0" w:space="0" w:color="auto"/>
        <w:right w:val="none" w:sz="0" w:space="0" w:color="auto"/>
      </w:divBdr>
    </w:div>
    <w:div w:id="758066578">
      <w:bodyDiv w:val="1"/>
      <w:marLeft w:val="0"/>
      <w:marRight w:val="0"/>
      <w:marTop w:val="0"/>
      <w:marBottom w:val="0"/>
      <w:divBdr>
        <w:top w:val="none" w:sz="0" w:space="0" w:color="auto"/>
        <w:left w:val="none" w:sz="0" w:space="0" w:color="auto"/>
        <w:bottom w:val="none" w:sz="0" w:space="0" w:color="auto"/>
        <w:right w:val="none" w:sz="0" w:space="0" w:color="auto"/>
      </w:divBdr>
    </w:div>
    <w:div w:id="866217334">
      <w:bodyDiv w:val="1"/>
      <w:marLeft w:val="0"/>
      <w:marRight w:val="0"/>
      <w:marTop w:val="0"/>
      <w:marBottom w:val="0"/>
      <w:divBdr>
        <w:top w:val="none" w:sz="0" w:space="0" w:color="auto"/>
        <w:left w:val="none" w:sz="0" w:space="0" w:color="auto"/>
        <w:bottom w:val="none" w:sz="0" w:space="0" w:color="auto"/>
        <w:right w:val="none" w:sz="0" w:space="0" w:color="auto"/>
      </w:divBdr>
    </w:div>
    <w:div w:id="934705407">
      <w:bodyDiv w:val="1"/>
      <w:marLeft w:val="0"/>
      <w:marRight w:val="0"/>
      <w:marTop w:val="0"/>
      <w:marBottom w:val="0"/>
      <w:divBdr>
        <w:top w:val="none" w:sz="0" w:space="0" w:color="auto"/>
        <w:left w:val="none" w:sz="0" w:space="0" w:color="auto"/>
        <w:bottom w:val="none" w:sz="0" w:space="0" w:color="auto"/>
        <w:right w:val="none" w:sz="0" w:space="0" w:color="auto"/>
      </w:divBdr>
    </w:div>
    <w:div w:id="948974860">
      <w:bodyDiv w:val="1"/>
      <w:marLeft w:val="0"/>
      <w:marRight w:val="0"/>
      <w:marTop w:val="0"/>
      <w:marBottom w:val="0"/>
      <w:divBdr>
        <w:top w:val="none" w:sz="0" w:space="0" w:color="auto"/>
        <w:left w:val="none" w:sz="0" w:space="0" w:color="auto"/>
        <w:bottom w:val="none" w:sz="0" w:space="0" w:color="auto"/>
        <w:right w:val="none" w:sz="0" w:space="0" w:color="auto"/>
      </w:divBdr>
      <w:divsChild>
        <w:div w:id="1473331813">
          <w:marLeft w:val="0"/>
          <w:marRight w:val="0"/>
          <w:marTop w:val="0"/>
          <w:marBottom w:val="0"/>
          <w:divBdr>
            <w:top w:val="none" w:sz="0" w:space="0" w:color="auto"/>
            <w:left w:val="none" w:sz="0" w:space="0" w:color="auto"/>
            <w:bottom w:val="none" w:sz="0" w:space="0" w:color="auto"/>
            <w:right w:val="none" w:sz="0" w:space="0" w:color="auto"/>
          </w:divBdr>
        </w:div>
      </w:divsChild>
    </w:div>
    <w:div w:id="1023824999">
      <w:bodyDiv w:val="1"/>
      <w:marLeft w:val="0"/>
      <w:marRight w:val="0"/>
      <w:marTop w:val="0"/>
      <w:marBottom w:val="0"/>
      <w:divBdr>
        <w:top w:val="none" w:sz="0" w:space="0" w:color="auto"/>
        <w:left w:val="none" w:sz="0" w:space="0" w:color="auto"/>
        <w:bottom w:val="none" w:sz="0" w:space="0" w:color="auto"/>
        <w:right w:val="none" w:sz="0" w:space="0" w:color="auto"/>
      </w:divBdr>
      <w:divsChild>
        <w:div w:id="334918782">
          <w:marLeft w:val="0"/>
          <w:marRight w:val="0"/>
          <w:marTop w:val="0"/>
          <w:marBottom w:val="0"/>
          <w:divBdr>
            <w:top w:val="none" w:sz="0" w:space="0" w:color="auto"/>
            <w:left w:val="none" w:sz="0" w:space="0" w:color="auto"/>
            <w:bottom w:val="none" w:sz="0" w:space="0" w:color="auto"/>
            <w:right w:val="none" w:sz="0" w:space="0" w:color="auto"/>
          </w:divBdr>
        </w:div>
      </w:divsChild>
    </w:div>
    <w:div w:id="1092357688">
      <w:bodyDiv w:val="1"/>
      <w:marLeft w:val="0"/>
      <w:marRight w:val="0"/>
      <w:marTop w:val="0"/>
      <w:marBottom w:val="0"/>
      <w:divBdr>
        <w:top w:val="none" w:sz="0" w:space="0" w:color="auto"/>
        <w:left w:val="none" w:sz="0" w:space="0" w:color="auto"/>
        <w:bottom w:val="none" w:sz="0" w:space="0" w:color="auto"/>
        <w:right w:val="none" w:sz="0" w:space="0" w:color="auto"/>
      </w:divBdr>
    </w:div>
    <w:div w:id="1212227595">
      <w:bodyDiv w:val="1"/>
      <w:marLeft w:val="0"/>
      <w:marRight w:val="0"/>
      <w:marTop w:val="0"/>
      <w:marBottom w:val="0"/>
      <w:divBdr>
        <w:top w:val="none" w:sz="0" w:space="0" w:color="auto"/>
        <w:left w:val="none" w:sz="0" w:space="0" w:color="auto"/>
        <w:bottom w:val="none" w:sz="0" w:space="0" w:color="auto"/>
        <w:right w:val="none" w:sz="0" w:space="0" w:color="auto"/>
      </w:divBdr>
    </w:div>
    <w:div w:id="1343121349">
      <w:bodyDiv w:val="1"/>
      <w:marLeft w:val="0"/>
      <w:marRight w:val="0"/>
      <w:marTop w:val="0"/>
      <w:marBottom w:val="0"/>
      <w:divBdr>
        <w:top w:val="none" w:sz="0" w:space="0" w:color="auto"/>
        <w:left w:val="none" w:sz="0" w:space="0" w:color="auto"/>
        <w:bottom w:val="none" w:sz="0" w:space="0" w:color="auto"/>
        <w:right w:val="none" w:sz="0" w:space="0" w:color="auto"/>
      </w:divBdr>
    </w:div>
    <w:div w:id="1361197884">
      <w:bodyDiv w:val="1"/>
      <w:marLeft w:val="0"/>
      <w:marRight w:val="0"/>
      <w:marTop w:val="0"/>
      <w:marBottom w:val="0"/>
      <w:divBdr>
        <w:top w:val="none" w:sz="0" w:space="0" w:color="auto"/>
        <w:left w:val="none" w:sz="0" w:space="0" w:color="auto"/>
        <w:bottom w:val="none" w:sz="0" w:space="0" w:color="auto"/>
        <w:right w:val="none" w:sz="0" w:space="0" w:color="auto"/>
      </w:divBdr>
    </w:div>
    <w:div w:id="1387996166">
      <w:bodyDiv w:val="1"/>
      <w:marLeft w:val="0"/>
      <w:marRight w:val="0"/>
      <w:marTop w:val="0"/>
      <w:marBottom w:val="0"/>
      <w:divBdr>
        <w:top w:val="none" w:sz="0" w:space="0" w:color="auto"/>
        <w:left w:val="none" w:sz="0" w:space="0" w:color="auto"/>
        <w:bottom w:val="none" w:sz="0" w:space="0" w:color="auto"/>
        <w:right w:val="none" w:sz="0" w:space="0" w:color="auto"/>
      </w:divBdr>
    </w:div>
    <w:div w:id="1420131070">
      <w:bodyDiv w:val="1"/>
      <w:marLeft w:val="0"/>
      <w:marRight w:val="0"/>
      <w:marTop w:val="0"/>
      <w:marBottom w:val="0"/>
      <w:divBdr>
        <w:top w:val="none" w:sz="0" w:space="0" w:color="auto"/>
        <w:left w:val="none" w:sz="0" w:space="0" w:color="auto"/>
        <w:bottom w:val="none" w:sz="0" w:space="0" w:color="auto"/>
        <w:right w:val="none" w:sz="0" w:space="0" w:color="auto"/>
      </w:divBdr>
    </w:div>
    <w:div w:id="1483934634">
      <w:bodyDiv w:val="1"/>
      <w:marLeft w:val="0"/>
      <w:marRight w:val="0"/>
      <w:marTop w:val="0"/>
      <w:marBottom w:val="0"/>
      <w:divBdr>
        <w:top w:val="none" w:sz="0" w:space="0" w:color="auto"/>
        <w:left w:val="none" w:sz="0" w:space="0" w:color="auto"/>
        <w:bottom w:val="none" w:sz="0" w:space="0" w:color="auto"/>
        <w:right w:val="none" w:sz="0" w:space="0" w:color="auto"/>
      </w:divBdr>
    </w:div>
    <w:div w:id="1524707403">
      <w:bodyDiv w:val="1"/>
      <w:marLeft w:val="0"/>
      <w:marRight w:val="0"/>
      <w:marTop w:val="0"/>
      <w:marBottom w:val="0"/>
      <w:divBdr>
        <w:top w:val="none" w:sz="0" w:space="0" w:color="auto"/>
        <w:left w:val="none" w:sz="0" w:space="0" w:color="auto"/>
        <w:bottom w:val="none" w:sz="0" w:space="0" w:color="auto"/>
        <w:right w:val="none" w:sz="0" w:space="0" w:color="auto"/>
      </w:divBdr>
    </w:div>
    <w:div w:id="1613395281">
      <w:bodyDiv w:val="1"/>
      <w:marLeft w:val="0"/>
      <w:marRight w:val="0"/>
      <w:marTop w:val="0"/>
      <w:marBottom w:val="0"/>
      <w:divBdr>
        <w:top w:val="none" w:sz="0" w:space="0" w:color="auto"/>
        <w:left w:val="none" w:sz="0" w:space="0" w:color="auto"/>
        <w:bottom w:val="none" w:sz="0" w:space="0" w:color="auto"/>
        <w:right w:val="none" w:sz="0" w:space="0" w:color="auto"/>
      </w:divBdr>
    </w:div>
    <w:div w:id="1656178963">
      <w:bodyDiv w:val="1"/>
      <w:marLeft w:val="0"/>
      <w:marRight w:val="0"/>
      <w:marTop w:val="0"/>
      <w:marBottom w:val="0"/>
      <w:divBdr>
        <w:top w:val="none" w:sz="0" w:space="0" w:color="auto"/>
        <w:left w:val="none" w:sz="0" w:space="0" w:color="auto"/>
        <w:bottom w:val="none" w:sz="0" w:space="0" w:color="auto"/>
        <w:right w:val="none" w:sz="0" w:space="0" w:color="auto"/>
      </w:divBdr>
    </w:div>
    <w:div w:id="1663122945">
      <w:bodyDiv w:val="1"/>
      <w:marLeft w:val="0"/>
      <w:marRight w:val="0"/>
      <w:marTop w:val="0"/>
      <w:marBottom w:val="0"/>
      <w:divBdr>
        <w:top w:val="none" w:sz="0" w:space="0" w:color="auto"/>
        <w:left w:val="none" w:sz="0" w:space="0" w:color="auto"/>
        <w:bottom w:val="none" w:sz="0" w:space="0" w:color="auto"/>
        <w:right w:val="none" w:sz="0" w:space="0" w:color="auto"/>
      </w:divBdr>
    </w:div>
    <w:div w:id="1690764009">
      <w:bodyDiv w:val="1"/>
      <w:marLeft w:val="0"/>
      <w:marRight w:val="0"/>
      <w:marTop w:val="0"/>
      <w:marBottom w:val="0"/>
      <w:divBdr>
        <w:top w:val="none" w:sz="0" w:space="0" w:color="auto"/>
        <w:left w:val="none" w:sz="0" w:space="0" w:color="auto"/>
        <w:bottom w:val="none" w:sz="0" w:space="0" w:color="auto"/>
        <w:right w:val="none" w:sz="0" w:space="0" w:color="auto"/>
      </w:divBdr>
    </w:div>
    <w:div w:id="1711413205">
      <w:bodyDiv w:val="1"/>
      <w:marLeft w:val="0"/>
      <w:marRight w:val="0"/>
      <w:marTop w:val="0"/>
      <w:marBottom w:val="0"/>
      <w:divBdr>
        <w:top w:val="none" w:sz="0" w:space="0" w:color="auto"/>
        <w:left w:val="none" w:sz="0" w:space="0" w:color="auto"/>
        <w:bottom w:val="none" w:sz="0" w:space="0" w:color="auto"/>
        <w:right w:val="none" w:sz="0" w:space="0" w:color="auto"/>
      </w:divBdr>
      <w:divsChild>
        <w:div w:id="199322671">
          <w:marLeft w:val="0"/>
          <w:marRight w:val="0"/>
          <w:marTop w:val="0"/>
          <w:marBottom w:val="0"/>
          <w:divBdr>
            <w:top w:val="none" w:sz="0" w:space="0" w:color="auto"/>
            <w:left w:val="none" w:sz="0" w:space="0" w:color="auto"/>
            <w:bottom w:val="none" w:sz="0" w:space="0" w:color="auto"/>
            <w:right w:val="none" w:sz="0" w:space="0" w:color="auto"/>
          </w:divBdr>
        </w:div>
      </w:divsChild>
    </w:div>
    <w:div w:id="1729112413">
      <w:bodyDiv w:val="1"/>
      <w:marLeft w:val="0"/>
      <w:marRight w:val="0"/>
      <w:marTop w:val="0"/>
      <w:marBottom w:val="0"/>
      <w:divBdr>
        <w:top w:val="none" w:sz="0" w:space="0" w:color="auto"/>
        <w:left w:val="none" w:sz="0" w:space="0" w:color="auto"/>
        <w:bottom w:val="none" w:sz="0" w:space="0" w:color="auto"/>
        <w:right w:val="none" w:sz="0" w:space="0" w:color="auto"/>
      </w:divBdr>
    </w:div>
    <w:div w:id="2009674678">
      <w:bodyDiv w:val="1"/>
      <w:marLeft w:val="0"/>
      <w:marRight w:val="0"/>
      <w:marTop w:val="0"/>
      <w:marBottom w:val="0"/>
      <w:divBdr>
        <w:top w:val="none" w:sz="0" w:space="0" w:color="auto"/>
        <w:left w:val="none" w:sz="0" w:space="0" w:color="auto"/>
        <w:bottom w:val="none" w:sz="0" w:space="0" w:color="auto"/>
        <w:right w:val="none" w:sz="0" w:space="0" w:color="auto"/>
      </w:divBdr>
    </w:div>
    <w:div w:id="2095124945">
      <w:bodyDiv w:val="1"/>
      <w:marLeft w:val="0"/>
      <w:marRight w:val="0"/>
      <w:marTop w:val="0"/>
      <w:marBottom w:val="0"/>
      <w:divBdr>
        <w:top w:val="none" w:sz="0" w:space="0" w:color="auto"/>
        <w:left w:val="none" w:sz="0" w:space="0" w:color="auto"/>
        <w:bottom w:val="none" w:sz="0" w:space="0" w:color="auto"/>
        <w:right w:val="none" w:sz="0" w:space="0" w:color="auto"/>
      </w:divBdr>
      <w:divsChild>
        <w:div w:id="1935047391">
          <w:marLeft w:val="0"/>
          <w:marRight w:val="0"/>
          <w:marTop w:val="0"/>
          <w:marBottom w:val="0"/>
          <w:divBdr>
            <w:top w:val="none" w:sz="0" w:space="0" w:color="auto"/>
            <w:left w:val="none" w:sz="0" w:space="0" w:color="auto"/>
            <w:bottom w:val="none" w:sz="0" w:space="0" w:color="auto"/>
            <w:right w:val="none" w:sz="0" w:space="0" w:color="auto"/>
          </w:divBdr>
          <w:divsChild>
            <w:div w:id="2041783762">
              <w:marLeft w:val="0"/>
              <w:marRight w:val="0"/>
              <w:marTop w:val="0"/>
              <w:marBottom w:val="0"/>
              <w:divBdr>
                <w:top w:val="none" w:sz="0" w:space="0" w:color="auto"/>
                <w:left w:val="none" w:sz="0" w:space="0" w:color="auto"/>
                <w:bottom w:val="none" w:sz="0" w:space="0" w:color="auto"/>
                <w:right w:val="none" w:sz="0" w:space="0" w:color="auto"/>
              </w:divBdr>
              <w:divsChild>
                <w:div w:id="112141781">
                  <w:marLeft w:val="0"/>
                  <w:marRight w:val="0"/>
                  <w:marTop w:val="0"/>
                  <w:marBottom w:val="0"/>
                  <w:divBdr>
                    <w:top w:val="none" w:sz="0" w:space="0" w:color="auto"/>
                    <w:left w:val="none" w:sz="0" w:space="0" w:color="auto"/>
                    <w:bottom w:val="none" w:sz="0" w:space="0" w:color="auto"/>
                    <w:right w:val="none" w:sz="0" w:space="0" w:color="auto"/>
                  </w:divBdr>
                  <w:divsChild>
                    <w:div w:id="1902522421">
                      <w:marLeft w:val="0"/>
                      <w:marRight w:val="0"/>
                      <w:marTop w:val="0"/>
                      <w:marBottom w:val="0"/>
                      <w:divBdr>
                        <w:top w:val="none" w:sz="0" w:space="0" w:color="auto"/>
                        <w:left w:val="none" w:sz="0" w:space="0" w:color="auto"/>
                        <w:bottom w:val="none" w:sz="0" w:space="0" w:color="auto"/>
                        <w:right w:val="none" w:sz="0" w:space="0" w:color="auto"/>
                      </w:divBdr>
                      <w:divsChild>
                        <w:div w:id="1739864104">
                          <w:marLeft w:val="0"/>
                          <w:marRight w:val="0"/>
                          <w:marTop w:val="0"/>
                          <w:marBottom w:val="0"/>
                          <w:divBdr>
                            <w:top w:val="none" w:sz="0" w:space="0" w:color="auto"/>
                            <w:left w:val="none" w:sz="0" w:space="0" w:color="auto"/>
                            <w:bottom w:val="none" w:sz="0" w:space="0" w:color="auto"/>
                            <w:right w:val="none" w:sz="0" w:space="0" w:color="auto"/>
                          </w:divBdr>
                          <w:divsChild>
                            <w:div w:id="9611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58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privind-initierea-a-proiectului-de-hotarare-de-guvern-cu-privire-la-alocarea-mijloacelor-financiare/130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C892A-AA31-4879-A763-B53FF3F6D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5</Pages>
  <Words>3067</Words>
  <Characters>17793</Characters>
  <Application>Microsoft Office Word</Application>
  <DocSecurity>0</DocSecurity>
  <Lines>148</Lines>
  <Paragraphs>41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tudor.sclifos@maia.gov.md</dc:creator>
  <cp:keywords/>
  <dc:description/>
  <cp:lastModifiedBy>Tudor Sclifos</cp:lastModifiedBy>
  <cp:revision>37</cp:revision>
  <cp:lastPrinted>2024-09-04T07:14:00Z</cp:lastPrinted>
  <dcterms:created xsi:type="dcterms:W3CDTF">2024-07-11T06:27:00Z</dcterms:created>
  <dcterms:modified xsi:type="dcterms:W3CDTF">2024-09-06T13:10:00Z</dcterms:modified>
</cp:coreProperties>
</file>