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1B5" w:rsidRPr="00CA2291" w:rsidRDefault="009371B5" w:rsidP="0040606D">
      <w:pPr>
        <w:spacing w:line="360" w:lineRule="auto"/>
        <w:ind w:firstLine="567"/>
        <w:jc w:val="both"/>
        <w:rPr>
          <w:lang w:val="ro-RO" w:eastAsia="en-US"/>
        </w:rPr>
      </w:pP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D019E3" w:rsidRPr="00D410A2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bCs/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>NOTĂ DE FUNDAMENTARE</w:t>
      </w: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>la proiectul Ordinului cu privire la modificarea Ordinului Ministrului Finanțelor nr.107/2023 cu privire la stabilirea comisionului de garantare</w:t>
      </w:r>
    </w:p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sz w:val="28"/>
          <w:szCs w:val="28"/>
          <w:lang w:val="ro-RO"/>
        </w:rPr>
      </w:pPr>
    </w:p>
    <w:p w:rsidR="00D019E3" w:rsidRPr="00D410A2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sz w:val="28"/>
          <w:szCs w:val="28"/>
          <w:lang w:val="ro-RO"/>
        </w:rPr>
      </w:pPr>
      <w:r w:rsidRPr="00D410A2">
        <w:rPr>
          <w:b/>
          <w:sz w:val="28"/>
          <w:szCs w:val="28"/>
          <w:lang w:val="ro-RO"/>
        </w:rPr>
        <w:t xml:space="preserve"> 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D019E3" w:rsidRPr="00A060BB" w:rsidTr="0072382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en-GB"/>
              </w:rPr>
              <w:t>P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roiectul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Ordinului cu privire la modificarea Ordinului Ministrului Finanțelor nr.107/2023 cu privire la stabilirea comisionului de garantare, este elaborat de către Ministerul Finanțelor.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Elaborarea proiectului Ordinului cu privire la modificarea Ordinului Ministrului Finanțelor nr.107/2023 cu privire la stabilirea comisionului de garantare derivă din necesitatea ajustării cadrului normativ secundar la prevederile Legii nr. 218/2024 pentru modificarea unor acte normative („Prima casă Plus”), care prevede în mod special operarea modificărilor și completărilor la Legea nr. 293/2017 privind unele măsuri în vederea implementării Programului de stat „Prima casă”.</w:t>
            </w:r>
          </w:p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</w:t>
            </w:r>
            <w:r w:rsidRPr="00D410A2">
              <w:rPr>
                <w:sz w:val="26"/>
                <w:szCs w:val="26"/>
                <w:lang w:val="ro-RO"/>
              </w:rPr>
              <w:t xml:space="preserve">otrivit art.6 alin.(2)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lit.c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) din Legea nr.293/2017 </w:t>
            </w:r>
            <w:r w:rsidRPr="00D410A2">
              <w:rPr>
                <w:bCs/>
                <w:sz w:val="26"/>
                <w:szCs w:val="26"/>
                <w:lang w:val="ro-RO"/>
              </w:rPr>
              <w:t xml:space="preserve">privind unele măsuri în vederea implementării Programului de stat „Prima casă”, </w:t>
            </w:r>
            <w:r w:rsidRPr="00D410A2">
              <w:rPr>
                <w:sz w:val="26"/>
                <w:szCs w:val="26"/>
                <w:lang w:val="ro-RO"/>
              </w:rPr>
              <w:t xml:space="preserve">comisionul de garantare, achitat de către beneficiarii Programului, este stabilit de către Ministerul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Finanţelor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>.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 xml:space="preserve">În conformitate cu proiectul Ordinului cu privire la modificarea Ordinului Ministrului Finanțelor nr.107/2023, se stabilește comisionul de garantare în mărime de 0,4% anual din soldul garanției de stat, care va fi aplicat pe parcursul anilor 2024-2025, pentru creditele garantate de către stat în cadrul Programului de stat „Prima casă”,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avînd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în vedere prevederile Art. I, pct. 2 din Legea nr. 218/2024 pentru modificarea unor acte normative („Prima casă Plus”). </w:t>
            </w:r>
          </w:p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Comisionul de garantare se achită de către beneficiarii Programului și se încasează de către creditor (banca finanțatoare) în favoarea Instituției Publice Organizația pentru Dezvoltarea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Antreprenoriatului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.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Pînă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la adoptarea modificărilor și completărilor la Legea nr.293/2017, comisionul de garantare a constituit 0,5% anual.</w:t>
            </w:r>
          </w:p>
        </w:tc>
      </w:tr>
      <w:tr w:rsidR="00D019E3" w:rsidRPr="00D410A2" w:rsidTr="0072382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 xml:space="preserve">Nu este aplicabil la această etapă, </w:t>
            </w:r>
            <w:proofErr w:type="spellStart"/>
            <w:r w:rsidRPr="00D410A2">
              <w:rPr>
                <w:sz w:val="26"/>
                <w:szCs w:val="26"/>
                <w:lang w:val="ro-RO"/>
              </w:rPr>
              <w:t>întrucît</w:t>
            </w:r>
            <w:proofErr w:type="spellEnd"/>
            <w:r w:rsidRPr="00D410A2">
              <w:rPr>
                <w:sz w:val="26"/>
                <w:szCs w:val="26"/>
                <w:lang w:val="ro-RO"/>
              </w:rPr>
              <w:t xml:space="preserve"> modificarea Ordinului Ministrului Finanțelor nr.107/2023 derivă din necesitatea ajustării acestuia la prevederile Legii nr. 218/2024 pentru modificarea unor acte normative („Prima casă Plus”).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nu prevede armonizarea legislației naționale cu legislația Uniunii Europene.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urmează a fi supus avizării și consultării publice în conformitate cu prevederile art. 32 alin. (5) din Legea nr. 100/2017 cu privire la actele normative.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D019E3" w:rsidRPr="00D410A2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o-RO"/>
              </w:rPr>
              <w:t>-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Proiectul propus vine să modifice Ordinul Ministrului Finanțelor nr.107/2023 cu privire la stabilirea comisionului de garantare în corelare cu prevederile actelor normative în vigoare (Legea nr. 218/2024) și nu afectează concepția generală ori caracterul unitar al cadrului normativ în vigoare.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b/>
                <w:bCs/>
                <w:sz w:val="26"/>
                <w:szCs w:val="26"/>
                <w:lang w:val="ro-RO"/>
              </w:rPr>
            </w:pPr>
            <w:r w:rsidRPr="00D410A2">
              <w:rPr>
                <w:b/>
                <w:bCs/>
                <w:sz w:val="26"/>
                <w:szCs w:val="26"/>
                <w:lang w:val="ro-RO"/>
              </w:rPr>
              <w:lastRenderedPageBreak/>
              <w:t>9. Măsurile necesare pentru implementarea prevederilor proiectului actului normativ</w:t>
            </w:r>
          </w:p>
        </w:tc>
      </w:tr>
      <w:tr w:rsidR="00D019E3" w:rsidRPr="00A060BB" w:rsidTr="0072382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9E3" w:rsidRPr="00D410A2" w:rsidRDefault="00D019E3" w:rsidP="00723824">
            <w:pPr>
              <w:jc w:val="both"/>
              <w:rPr>
                <w:sz w:val="26"/>
                <w:szCs w:val="26"/>
                <w:lang w:val="ro-RO"/>
              </w:rPr>
            </w:pPr>
            <w:r w:rsidRPr="00D410A2">
              <w:rPr>
                <w:sz w:val="26"/>
                <w:szCs w:val="26"/>
                <w:lang w:val="ro-RO"/>
              </w:rPr>
              <w:t>Pentru a asigura concordanța prevederilor actelor normative și punerea eficientă în aplicare a acestora, la pct. 2 și</w:t>
            </w:r>
            <w:r>
              <w:rPr>
                <w:sz w:val="26"/>
                <w:szCs w:val="26"/>
                <w:lang w:val="ro-RO"/>
              </w:rPr>
              <w:t xml:space="preserve"> pct.</w:t>
            </w:r>
            <w:r w:rsidRPr="00D410A2">
              <w:rPr>
                <w:sz w:val="26"/>
                <w:szCs w:val="26"/>
                <w:lang w:val="ro-RO"/>
              </w:rPr>
              <w:t xml:space="preserve"> 3 din proiectul Ordinului cu privire la modificarea Ordinului Ministrului Finanțelor nr.107/2023, s-a stabilit că comisionul</w:t>
            </w: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de garantare în mărime de 0,4% se aplică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faţă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de noii beneficiari ai Programului de stat „Prima casă” din data intrării în vigoare a Legii nr.218/2024 pentru modificarea unor act</w:t>
            </w:r>
            <w:r w:rsidRPr="00D410A2">
              <w:rPr>
                <w:sz w:val="26"/>
                <w:szCs w:val="26"/>
                <w:lang w:val="ro-RO"/>
              </w:rPr>
              <w:t>e normative („Prima casă Plus”), iar f</w:t>
            </w:r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ață de beneficiarii Programului de stat „Prima casă”, care au contractat credite ipotecare în cadrul programului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pînă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la data intrării în vigoare a Legii nr.218/2024, băncile vor aplica comisionul de garantare în mărime de 0,4% </w:t>
            </w:r>
            <w:proofErr w:type="spellStart"/>
            <w:r w:rsidRPr="00D410A2">
              <w:rPr>
                <w:rFonts w:eastAsia="Calibri"/>
                <w:sz w:val="26"/>
                <w:szCs w:val="26"/>
                <w:lang w:val="ro-RO"/>
              </w:rPr>
              <w:t>începînd</w:t>
            </w:r>
            <w:proofErr w:type="spellEnd"/>
            <w:r w:rsidRPr="00D410A2">
              <w:rPr>
                <w:rFonts w:eastAsia="Calibri"/>
                <w:sz w:val="26"/>
                <w:szCs w:val="26"/>
                <w:lang w:val="ro-RO"/>
              </w:rPr>
              <w:t xml:space="preserve"> cu data de 01.09.2024.</w:t>
            </w:r>
          </w:p>
        </w:tc>
      </w:tr>
    </w:tbl>
    <w:p w:rsidR="00D019E3" w:rsidRDefault="00D019E3" w:rsidP="00D019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p w:rsidR="00D019E3" w:rsidRDefault="00D019E3" w:rsidP="00D019E3">
      <w:pPr>
        <w:jc w:val="both"/>
        <w:rPr>
          <w:lang w:val="ro-RO"/>
        </w:rPr>
      </w:pPr>
    </w:p>
    <w:tbl>
      <w:tblPr>
        <w:tblW w:w="0" w:type="auto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4045"/>
      </w:tblGrid>
      <w:tr w:rsidR="00D019E3" w:rsidRPr="00CA2291" w:rsidTr="00723824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D019E3" w:rsidRPr="00CA2291" w:rsidRDefault="00D019E3" w:rsidP="00723824">
            <w:pPr>
              <w:jc w:val="right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sz w:val="28"/>
                <w:szCs w:val="28"/>
                <w:lang w:val="ro-RO" w:eastAsia="en-US"/>
              </w:rPr>
              <w:t>MINISTRUL FINANŢELOR</w:t>
            </w:r>
            <w:r>
              <w:rPr>
                <w:b/>
                <w:bCs/>
                <w:sz w:val="28"/>
                <w:szCs w:val="28"/>
                <w:lang w:val="ro-RO" w:eastAsia="en-US"/>
              </w:rPr>
              <w:t xml:space="preserve">  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E3" w:rsidRPr="00CA2291" w:rsidRDefault="00D019E3" w:rsidP="00723824">
            <w:pPr>
              <w:ind w:left="708"/>
              <w:rPr>
                <w:b/>
                <w:bCs/>
                <w:sz w:val="28"/>
                <w:szCs w:val="28"/>
                <w:lang w:val="ro-RO" w:eastAsia="en-US"/>
              </w:rPr>
            </w:pPr>
            <w:r w:rsidRPr="00CA2291">
              <w:rPr>
                <w:b/>
                <w:bCs/>
                <w:color w:val="000000"/>
                <w:sz w:val="28"/>
                <w:szCs w:val="28"/>
                <w:lang w:val="ro-RO" w:eastAsia="en-GB"/>
              </w:rPr>
              <w:t>Victoria BELOUS</w:t>
            </w:r>
          </w:p>
        </w:tc>
      </w:tr>
    </w:tbl>
    <w:p w:rsidR="00D019E3" w:rsidRPr="00CA2291" w:rsidRDefault="00D019E3" w:rsidP="00D019E3">
      <w:pPr>
        <w:jc w:val="both"/>
        <w:rPr>
          <w:lang w:val="ro-RO"/>
        </w:rPr>
      </w:pPr>
    </w:p>
    <w:p w:rsidR="00D019E3" w:rsidRPr="006C6831" w:rsidRDefault="00D019E3" w:rsidP="00D019E3"/>
    <w:p w:rsidR="00D019E3" w:rsidRDefault="00D019E3" w:rsidP="00E048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8"/>
          <w:szCs w:val="28"/>
          <w:lang w:val="ro-RO"/>
        </w:rPr>
      </w:pPr>
    </w:p>
    <w:sectPr w:rsidR="00D019E3" w:rsidSect="00F5382A">
      <w:pgSz w:w="11906" w:h="16838"/>
      <w:pgMar w:top="425" w:right="107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8F9"/>
    <w:multiLevelType w:val="hybridMultilevel"/>
    <w:tmpl w:val="7870E39A"/>
    <w:lvl w:ilvl="0" w:tplc="2AF0BA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1AC3EF3"/>
    <w:multiLevelType w:val="multilevel"/>
    <w:tmpl w:val="58A4E0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1F84"/>
    <w:multiLevelType w:val="hybridMultilevel"/>
    <w:tmpl w:val="E044180E"/>
    <w:lvl w:ilvl="0" w:tplc="1D1872E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3B92"/>
    <w:rsid w:val="00005B63"/>
    <w:rsid w:val="00051427"/>
    <w:rsid w:val="000669D1"/>
    <w:rsid w:val="0009382E"/>
    <w:rsid w:val="000C5D17"/>
    <w:rsid w:val="000C7629"/>
    <w:rsid w:val="000E704D"/>
    <w:rsid w:val="000F6002"/>
    <w:rsid w:val="00176CB0"/>
    <w:rsid w:val="0019260B"/>
    <w:rsid w:val="0019383C"/>
    <w:rsid w:val="001E0794"/>
    <w:rsid w:val="001E0B50"/>
    <w:rsid w:val="00204861"/>
    <w:rsid w:val="002300A1"/>
    <w:rsid w:val="00233AFB"/>
    <w:rsid w:val="0024088F"/>
    <w:rsid w:val="0029350E"/>
    <w:rsid w:val="002A4FBB"/>
    <w:rsid w:val="002A6337"/>
    <w:rsid w:val="002B09A9"/>
    <w:rsid w:val="00313392"/>
    <w:rsid w:val="00325FF3"/>
    <w:rsid w:val="00333770"/>
    <w:rsid w:val="003B2712"/>
    <w:rsid w:val="003B758F"/>
    <w:rsid w:val="003D66FD"/>
    <w:rsid w:val="003E1E5D"/>
    <w:rsid w:val="003E5CCC"/>
    <w:rsid w:val="00404E48"/>
    <w:rsid w:val="0040606D"/>
    <w:rsid w:val="0043633D"/>
    <w:rsid w:val="00446CB5"/>
    <w:rsid w:val="00462198"/>
    <w:rsid w:val="00462E38"/>
    <w:rsid w:val="004C1908"/>
    <w:rsid w:val="004D6675"/>
    <w:rsid w:val="00505006"/>
    <w:rsid w:val="005119F8"/>
    <w:rsid w:val="00515829"/>
    <w:rsid w:val="00530E97"/>
    <w:rsid w:val="00533925"/>
    <w:rsid w:val="00544B25"/>
    <w:rsid w:val="0055303D"/>
    <w:rsid w:val="005610A5"/>
    <w:rsid w:val="00562836"/>
    <w:rsid w:val="005C2DE6"/>
    <w:rsid w:val="005E72D8"/>
    <w:rsid w:val="005E7980"/>
    <w:rsid w:val="005F2917"/>
    <w:rsid w:val="005F650D"/>
    <w:rsid w:val="00602165"/>
    <w:rsid w:val="00603AFA"/>
    <w:rsid w:val="0064438D"/>
    <w:rsid w:val="006B1708"/>
    <w:rsid w:val="006D2BA1"/>
    <w:rsid w:val="00713472"/>
    <w:rsid w:val="00716D6C"/>
    <w:rsid w:val="00721880"/>
    <w:rsid w:val="00721979"/>
    <w:rsid w:val="00724F95"/>
    <w:rsid w:val="00770883"/>
    <w:rsid w:val="007717FC"/>
    <w:rsid w:val="007D384D"/>
    <w:rsid w:val="007E5D8C"/>
    <w:rsid w:val="007E69D2"/>
    <w:rsid w:val="00811D67"/>
    <w:rsid w:val="008A2773"/>
    <w:rsid w:val="008A726D"/>
    <w:rsid w:val="008F60EE"/>
    <w:rsid w:val="009051A1"/>
    <w:rsid w:val="009371B5"/>
    <w:rsid w:val="0095023A"/>
    <w:rsid w:val="0097657D"/>
    <w:rsid w:val="0098558B"/>
    <w:rsid w:val="009E4DC4"/>
    <w:rsid w:val="009F7AA2"/>
    <w:rsid w:val="009F7FE2"/>
    <w:rsid w:val="00A060BB"/>
    <w:rsid w:val="00A35B57"/>
    <w:rsid w:val="00A52B34"/>
    <w:rsid w:val="00A560D0"/>
    <w:rsid w:val="00A733DE"/>
    <w:rsid w:val="00A96D12"/>
    <w:rsid w:val="00B1497F"/>
    <w:rsid w:val="00B2050B"/>
    <w:rsid w:val="00B24BC6"/>
    <w:rsid w:val="00B3137B"/>
    <w:rsid w:val="00B35ED7"/>
    <w:rsid w:val="00BD656F"/>
    <w:rsid w:val="00BF5B35"/>
    <w:rsid w:val="00BF671F"/>
    <w:rsid w:val="00C00199"/>
    <w:rsid w:val="00C21726"/>
    <w:rsid w:val="00C44E99"/>
    <w:rsid w:val="00C512F2"/>
    <w:rsid w:val="00C656CA"/>
    <w:rsid w:val="00C72EB2"/>
    <w:rsid w:val="00CA20F1"/>
    <w:rsid w:val="00CA2291"/>
    <w:rsid w:val="00CF1309"/>
    <w:rsid w:val="00D019E3"/>
    <w:rsid w:val="00D1462D"/>
    <w:rsid w:val="00D24095"/>
    <w:rsid w:val="00D410A2"/>
    <w:rsid w:val="00D4504C"/>
    <w:rsid w:val="00D54A54"/>
    <w:rsid w:val="00D7284F"/>
    <w:rsid w:val="00D740BF"/>
    <w:rsid w:val="00D77EAB"/>
    <w:rsid w:val="00DB04DD"/>
    <w:rsid w:val="00DC23C7"/>
    <w:rsid w:val="00E048A6"/>
    <w:rsid w:val="00E27C5B"/>
    <w:rsid w:val="00E776C4"/>
    <w:rsid w:val="00E80F8B"/>
    <w:rsid w:val="00E824CA"/>
    <w:rsid w:val="00EE0C0A"/>
    <w:rsid w:val="00F04593"/>
    <w:rsid w:val="00F1144A"/>
    <w:rsid w:val="00F41385"/>
    <w:rsid w:val="00F50C48"/>
    <w:rsid w:val="00F536BA"/>
    <w:rsid w:val="00F5382A"/>
    <w:rsid w:val="00F53C81"/>
    <w:rsid w:val="00F54371"/>
    <w:rsid w:val="00F621B9"/>
    <w:rsid w:val="00F90635"/>
    <w:rsid w:val="00FC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5646D-2EAD-4DF2-9771-0C54BA86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t">
    <w:name w:val="tt"/>
    <w:basedOn w:val="Normal"/>
    <w:rsid w:val="00003B92"/>
    <w:pPr>
      <w:spacing w:before="100" w:beforeAutospacing="1" w:after="100" w:afterAutospacing="1"/>
    </w:pPr>
  </w:style>
  <w:style w:type="paragraph" w:customStyle="1" w:styleId="md">
    <w:name w:val="md"/>
    <w:basedOn w:val="Normal"/>
    <w:rsid w:val="00003B92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40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emit">
    <w:name w:val="emit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customStyle="1" w:styleId="ttsp">
    <w:name w:val="tt_sp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562836"/>
    <w:pPr>
      <w:spacing w:before="100" w:beforeAutospacing="1" w:after="100" w:afterAutospacing="1"/>
    </w:pPr>
    <w:rPr>
      <w:lang w:val="en-US" w:eastAsia="en-US"/>
    </w:rPr>
  </w:style>
  <w:style w:type="paragraph" w:customStyle="1" w:styleId="cb">
    <w:name w:val="cb"/>
    <w:basedOn w:val="Normal"/>
    <w:rsid w:val="00562836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F5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aaaa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Vircolici Ana</cp:lastModifiedBy>
  <cp:revision>13</cp:revision>
  <cp:lastPrinted>2024-08-14T10:35:00Z</cp:lastPrinted>
  <dcterms:created xsi:type="dcterms:W3CDTF">2024-08-14T05:15:00Z</dcterms:created>
  <dcterms:modified xsi:type="dcterms:W3CDTF">2024-08-14T10:36:00Z</dcterms:modified>
</cp:coreProperties>
</file>