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B5" w:rsidRPr="00CA2291" w:rsidRDefault="009371B5" w:rsidP="0040606D">
      <w:pPr>
        <w:spacing w:line="360" w:lineRule="auto"/>
        <w:ind w:firstLine="567"/>
        <w:jc w:val="both"/>
        <w:rPr>
          <w:lang w:val="ro-RO" w:eastAsia="en-US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760"/>
        <w:gridCol w:w="4305"/>
      </w:tblGrid>
      <w:tr w:rsidR="00CA20F1" w:rsidRPr="00CA20F1" w:rsidTr="00CA20F1">
        <w:trPr>
          <w:trHeight w:val="1560"/>
          <w:jc w:val="center"/>
        </w:trPr>
        <w:tc>
          <w:tcPr>
            <w:tcW w:w="5760" w:type="dxa"/>
            <w:vAlign w:val="center"/>
          </w:tcPr>
          <w:p w:rsidR="00CA20F1" w:rsidRDefault="00CA20F1" w:rsidP="00CA20F1">
            <w:pPr>
              <w:spacing w:line="276" w:lineRule="auto"/>
              <w:rPr>
                <w:b/>
                <w:szCs w:val="20"/>
                <w:lang w:val="ro-RO"/>
              </w:rPr>
            </w:pPr>
            <w:r w:rsidRPr="00CA2291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76B7C2FC" wp14:editId="02C03DD4">
                  <wp:simplePos x="0" y="0"/>
                  <wp:positionH relativeFrom="column">
                    <wp:posOffset>-822325</wp:posOffset>
                  </wp:positionH>
                  <wp:positionV relativeFrom="paragraph">
                    <wp:posOffset>78105</wp:posOffset>
                  </wp:positionV>
                  <wp:extent cx="792480" cy="944880"/>
                  <wp:effectExtent l="0" t="0" r="7620" b="7620"/>
                  <wp:wrapSquare wrapText="bothSides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2291">
              <w:rPr>
                <w:b/>
                <w:szCs w:val="20"/>
                <w:lang w:val="ro-RO"/>
              </w:rPr>
              <w:t xml:space="preserve">  </w:t>
            </w:r>
          </w:p>
          <w:p w:rsidR="00CA20F1" w:rsidRDefault="00CA20F1" w:rsidP="00CA20F1">
            <w:pPr>
              <w:spacing w:line="120" w:lineRule="auto"/>
              <w:rPr>
                <w:b/>
                <w:lang w:val="ro-RO"/>
              </w:rPr>
            </w:pPr>
          </w:p>
          <w:p w:rsidR="00CA20F1" w:rsidRPr="00CA20F1" w:rsidRDefault="00CA20F1" w:rsidP="00CA20F1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CA20F1">
              <w:rPr>
                <w:b/>
                <w:sz w:val="28"/>
                <w:szCs w:val="28"/>
                <w:lang w:val="ro-RO"/>
              </w:rPr>
              <w:t>MINISTERUL FINANŢELOR</w:t>
            </w:r>
          </w:p>
          <w:p w:rsidR="00CA20F1" w:rsidRPr="00CA20F1" w:rsidRDefault="00CA20F1" w:rsidP="00CA20F1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CA20F1">
              <w:rPr>
                <w:b/>
                <w:sz w:val="28"/>
                <w:szCs w:val="28"/>
                <w:lang w:val="ro-RO"/>
              </w:rPr>
              <w:t>AL REPUBLICII MOLDOVA</w:t>
            </w:r>
          </w:p>
          <w:p w:rsidR="00CA20F1" w:rsidRPr="00CA2291" w:rsidRDefault="00CA20F1" w:rsidP="00CA20F1">
            <w:pPr>
              <w:spacing w:line="276" w:lineRule="auto"/>
              <w:rPr>
                <w:lang w:val="ro-RO"/>
              </w:rPr>
            </w:pPr>
          </w:p>
          <w:p w:rsidR="00CA20F1" w:rsidRPr="00CA2291" w:rsidRDefault="00CA20F1" w:rsidP="00CA20F1">
            <w:pPr>
              <w:spacing w:line="276" w:lineRule="auto"/>
              <w:rPr>
                <w:b/>
                <w:sz w:val="12"/>
                <w:szCs w:val="12"/>
                <w:lang w:val="ro-RO"/>
              </w:rPr>
            </w:pPr>
          </w:p>
        </w:tc>
        <w:tc>
          <w:tcPr>
            <w:tcW w:w="4305" w:type="dxa"/>
          </w:tcPr>
          <w:p w:rsidR="00CA20F1" w:rsidRPr="00CA2291" w:rsidRDefault="00CA20F1" w:rsidP="003D5A78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:rsidR="00CA20F1" w:rsidRPr="00CA2291" w:rsidRDefault="00CA20F1" w:rsidP="003D5A78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</w:tr>
    </w:tbl>
    <w:p w:rsidR="009371B5" w:rsidRPr="00CA20F1" w:rsidRDefault="009371B5" w:rsidP="009371B5">
      <w:pPr>
        <w:keepNext/>
        <w:tabs>
          <w:tab w:val="left" w:pos="-2127"/>
          <w:tab w:val="left" w:pos="5103"/>
          <w:tab w:val="left" w:pos="8364"/>
          <w:tab w:val="left" w:pos="10632"/>
          <w:tab w:val="left" w:pos="10915"/>
        </w:tabs>
        <w:jc w:val="center"/>
        <w:outlineLvl w:val="0"/>
        <w:rPr>
          <w:b/>
          <w:spacing w:val="60"/>
          <w:sz w:val="32"/>
          <w:szCs w:val="32"/>
          <w:lang w:val="ro-RO"/>
        </w:rPr>
      </w:pPr>
      <w:r w:rsidRPr="00CA20F1">
        <w:rPr>
          <w:b/>
          <w:spacing w:val="60"/>
          <w:sz w:val="32"/>
          <w:szCs w:val="32"/>
          <w:lang w:val="ro-RO"/>
        </w:rPr>
        <w:t>ORDIN</w:t>
      </w:r>
    </w:p>
    <w:p w:rsidR="009371B5" w:rsidRPr="00CA20F1" w:rsidRDefault="009371B5" w:rsidP="009371B5">
      <w:pPr>
        <w:jc w:val="center"/>
        <w:rPr>
          <w:sz w:val="28"/>
          <w:szCs w:val="28"/>
          <w:lang w:val="ro-RO"/>
        </w:rPr>
      </w:pPr>
      <w:r w:rsidRPr="00CA20F1">
        <w:rPr>
          <w:sz w:val="28"/>
          <w:szCs w:val="28"/>
          <w:lang w:val="ro-RO"/>
        </w:rPr>
        <w:t>mun. Chișinău</w:t>
      </w:r>
    </w:p>
    <w:p w:rsidR="009371B5" w:rsidRPr="00CA2291" w:rsidRDefault="009371B5" w:rsidP="009371B5">
      <w:pPr>
        <w:jc w:val="center"/>
        <w:rPr>
          <w:sz w:val="26"/>
          <w:szCs w:val="26"/>
          <w:lang w:val="ro-RO"/>
        </w:rPr>
      </w:pPr>
    </w:p>
    <w:p w:rsidR="009371B5" w:rsidRPr="00CA2291" w:rsidRDefault="002A4FBB" w:rsidP="009371B5">
      <w:pPr>
        <w:spacing w:line="360" w:lineRule="auto"/>
        <w:jc w:val="both"/>
        <w:rPr>
          <w:sz w:val="26"/>
          <w:szCs w:val="26"/>
          <w:lang w:val="ro-RO" w:eastAsia="en-US"/>
        </w:rPr>
      </w:pPr>
      <w:r w:rsidRPr="00CA2291">
        <w:rPr>
          <w:rFonts w:eastAsia="Calibri"/>
          <w:sz w:val="26"/>
          <w:szCs w:val="26"/>
          <w:lang w:val="ro-RO"/>
        </w:rPr>
        <w:t>__</w:t>
      </w:r>
      <w:r w:rsidR="00562836" w:rsidRPr="00CA2291">
        <w:rPr>
          <w:rFonts w:eastAsia="Calibri"/>
          <w:sz w:val="26"/>
          <w:szCs w:val="26"/>
          <w:lang w:val="ro-RO"/>
        </w:rPr>
        <w:t xml:space="preserve"> </w:t>
      </w:r>
      <w:r w:rsidRPr="00CA2291">
        <w:rPr>
          <w:rFonts w:eastAsia="Calibri"/>
          <w:sz w:val="26"/>
          <w:szCs w:val="26"/>
          <w:lang w:val="ro-RO"/>
        </w:rPr>
        <w:t>august</w:t>
      </w:r>
      <w:r w:rsidR="009371B5" w:rsidRPr="00CA2291">
        <w:rPr>
          <w:rFonts w:eastAsia="Calibri"/>
          <w:sz w:val="26"/>
          <w:szCs w:val="26"/>
          <w:lang w:val="ro-RO"/>
        </w:rPr>
        <w:t xml:space="preserve"> 20</w:t>
      </w:r>
      <w:r w:rsidR="00D740BF" w:rsidRPr="00CA2291">
        <w:rPr>
          <w:rFonts w:eastAsia="Calibri"/>
          <w:sz w:val="26"/>
          <w:szCs w:val="26"/>
          <w:lang w:val="ro-RO"/>
        </w:rPr>
        <w:t>2</w:t>
      </w:r>
      <w:r w:rsidRPr="00CA2291">
        <w:rPr>
          <w:rFonts w:eastAsia="Calibri"/>
          <w:sz w:val="26"/>
          <w:szCs w:val="26"/>
          <w:lang w:val="ro-RO"/>
        </w:rPr>
        <w:t>4</w:t>
      </w:r>
      <w:r w:rsidR="009371B5" w:rsidRPr="00CA2291">
        <w:rPr>
          <w:rFonts w:eastAsia="Calibri"/>
          <w:sz w:val="26"/>
          <w:szCs w:val="26"/>
          <w:lang w:val="ro-RO"/>
        </w:rPr>
        <w:tab/>
      </w:r>
      <w:r w:rsidR="009371B5" w:rsidRPr="00CA2291">
        <w:rPr>
          <w:rFonts w:eastAsia="Calibri"/>
          <w:sz w:val="26"/>
          <w:szCs w:val="26"/>
          <w:lang w:val="ro-RO"/>
        </w:rPr>
        <w:tab/>
      </w:r>
      <w:r w:rsidR="009371B5" w:rsidRPr="00CA2291">
        <w:rPr>
          <w:rFonts w:eastAsia="Calibri"/>
          <w:sz w:val="26"/>
          <w:szCs w:val="26"/>
          <w:lang w:val="ro-RO"/>
        </w:rPr>
        <w:tab/>
      </w:r>
      <w:r w:rsidR="009371B5" w:rsidRPr="00CA2291">
        <w:rPr>
          <w:rFonts w:eastAsia="Calibri"/>
          <w:sz w:val="26"/>
          <w:szCs w:val="26"/>
          <w:lang w:val="ro-RO"/>
        </w:rPr>
        <w:tab/>
      </w:r>
      <w:r w:rsidR="009371B5" w:rsidRPr="00CA2291">
        <w:rPr>
          <w:rFonts w:eastAsia="Calibri"/>
          <w:sz w:val="26"/>
          <w:szCs w:val="26"/>
          <w:lang w:val="ro-RO"/>
        </w:rPr>
        <w:tab/>
      </w:r>
      <w:r w:rsidRPr="00CA2291">
        <w:rPr>
          <w:rFonts w:eastAsia="Calibri"/>
          <w:sz w:val="26"/>
          <w:szCs w:val="26"/>
          <w:lang w:val="ro-RO"/>
        </w:rPr>
        <w:t xml:space="preserve">                  </w:t>
      </w:r>
      <w:r w:rsidR="00F50C48" w:rsidRPr="00CA2291">
        <w:rPr>
          <w:rFonts w:eastAsia="Calibri"/>
          <w:sz w:val="26"/>
          <w:szCs w:val="26"/>
          <w:lang w:val="ro-RO"/>
        </w:rPr>
        <w:t xml:space="preserve">                          </w:t>
      </w:r>
      <w:r w:rsidR="009371B5" w:rsidRPr="00CA2291">
        <w:rPr>
          <w:rFonts w:eastAsia="Calibri"/>
          <w:sz w:val="26"/>
          <w:szCs w:val="26"/>
          <w:lang w:val="ro-RO"/>
        </w:rPr>
        <w:t>Nr</w:t>
      </w:r>
      <w:r w:rsidRPr="00CA2291">
        <w:rPr>
          <w:rFonts w:eastAsia="Calibri"/>
          <w:sz w:val="26"/>
          <w:szCs w:val="26"/>
          <w:lang w:val="ro-RO"/>
        </w:rPr>
        <w:t>._</w:t>
      </w:r>
      <w:r w:rsidR="00F50C48" w:rsidRPr="00CA2291">
        <w:rPr>
          <w:rFonts w:eastAsia="Calibri"/>
          <w:sz w:val="26"/>
          <w:szCs w:val="26"/>
          <w:lang w:val="ro-RO"/>
        </w:rPr>
        <w:t>___</w:t>
      </w:r>
      <w:r w:rsidRPr="00CA2291">
        <w:rPr>
          <w:rFonts w:eastAsia="Calibri"/>
          <w:sz w:val="26"/>
          <w:szCs w:val="26"/>
          <w:lang w:val="ro-RO"/>
        </w:rPr>
        <w:t>___</w:t>
      </w:r>
    </w:p>
    <w:p w:rsidR="009371B5" w:rsidRPr="00CA2291" w:rsidRDefault="009371B5" w:rsidP="009371B5">
      <w:pPr>
        <w:rPr>
          <w:i/>
          <w:lang w:val="ro-RO" w:eastAsia="en-US"/>
        </w:rPr>
      </w:pPr>
    </w:p>
    <w:p w:rsidR="002A4FBB" w:rsidRPr="00CA2291" w:rsidRDefault="002A4FBB" w:rsidP="002A4FBB">
      <w:pPr>
        <w:rPr>
          <w:bCs/>
          <w:i/>
          <w:lang w:val="ro-RO"/>
        </w:rPr>
      </w:pPr>
    </w:p>
    <w:p w:rsidR="0019260B" w:rsidRPr="0098558B" w:rsidRDefault="0019260B" w:rsidP="00CA2291">
      <w:pPr>
        <w:spacing w:line="276" w:lineRule="auto"/>
        <w:ind w:firstLine="708"/>
        <w:rPr>
          <w:b/>
          <w:bCs/>
          <w:sz w:val="28"/>
          <w:szCs w:val="28"/>
          <w:lang w:val="ro-RO"/>
        </w:rPr>
      </w:pPr>
      <w:r w:rsidRPr="0098558B">
        <w:rPr>
          <w:b/>
          <w:bCs/>
          <w:sz w:val="28"/>
          <w:szCs w:val="28"/>
          <w:lang w:val="ro-RO"/>
        </w:rPr>
        <w:t xml:space="preserve">Cu privire la </w:t>
      </w:r>
      <w:r w:rsidR="002A4FBB" w:rsidRPr="0098558B">
        <w:rPr>
          <w:b/>
          <w:bCs/>
          <w:sz w:val="28"/>
          <w:szCs w:val="28"/>
          <w:lang w:val="ro-RO"/>
        </w:rPr>
        <w:t xml:space="preserve">modificarea </w:t>
      </w:r>
    </w:p>
    <w:p w:rsidR="002A4FBB" w:rsidRPr="0098558B" w:rsidRDefault="002A4FBB" w:rsidP="00CA2291">
      <w:pPr>
        <w:spacing w:line="276" w:lineRule="auto"/>
        <w:ind w:firstLine="708"/>
        <w:rPr>
          <w:b/>
          <w:bCs/>
          <w:sz w:val="28"/>
          <w:szCs w:val="28"/>
          <w:lang w:val="ro-RO"/>
        </w:rPr>
      </w:pPr>
      <w:r w:rsidRPr="0098558B">
        <w:rPr>
          <w:b/>
          <w:bCs/>
          <w:sz w:val="28"/>
          <w:szCs w:val="28"/>
          <w:lang w:val="ro-RO"/>
        </w:rPr>
        <w:t>Ordinului</w:t>
      </w:r>
      <w:r w:rsidR="00F50C48" w:rsidRPr="0098558B">
        <w:rPr>
          <w:b/>
          <w:bCs/>
          <w:sz w:val="28"/>
          <w:szCs w:val="28"/>
          <w:lang w:val="ro-RO"/>
        </w:rPr>
        <w:t xml:space="preserve"> Ministrul</w:t>
      </w:r>
      <w:r w:rsidR="00C72EB2" w:rsidRPr="0098558B">
        <w:rPr>
          <w:b/>
          <w:bCs/>
          <w:sz w:val="28"/>
          <w:szCs w:val="28"/>
          <w:lang w:val="ro-RO"/>
        </w:rPr>
        <w:t>ui Finanțelor nr. 107/</w:t>
      </w:r>
      <w:r w:rsidRPr="0098558B">
        <w:rPr>
          <w:b/>
          <w:bCs/>
          <w:sz w:val="28"/>
          <w:szCs w:val="28"/>
          <w:lang w:val="ro-RO"/>
        </w:rPr>
        <w:t>2023</w:t>
      </w:r>
    </w:p>
    <w:p w:rsidR="009371B5" w:rsidRPr="0098558B" w:rsidRDefault="009371B5" w:rsidP="00F50C48">
      <w:pPr>
        <w:spacing w:line="276" w:lineRule="auto"/>
        <w:ind w:firstLine="567"/>
        <w:jc w:val="both"/>
        <w:rPr>
          <w:sz w:val="28"/>
          <w:szCs w:val="28"/>
          <w:lang w:val="ro-RO" w:eastAsia="en-US"/>
        </w:rPr>
      </w:pPr>
    </w:p>
    <w:p w:rsidR="002A4FBB" w:rsidRPr="0098558B" w:rsidRDefault="002A4FBB" w:rsidP="00F50C48">
      <w:pPr>
        <w:spacing w:line="276" w:lineRule="auto"/>
        <w:ind w:firstLine="567"/>
        <w:jc w:val="both"/>
        <w:rPr>
          <w:sz w:val="28"/>
          <w:szCs w:val="28"/>
          <w:highlight w:val="yellow"/>
          <w:lang w:val="ro-RO" w:eastAsia="en-US"/>
        </w:rPr>
      </w:pPr>
    </w:p>
    <w:p w:rsidR="0040606D" w:rsidRPr="0098558B" w:rsidRDefault="00CA2291" w:rsidP="0043633D">
      <w:pPr>
        <w:pStyle w:val="cb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  <w:lang w:val="ro-RO"/>
        </w:rPr>
      </w:pPr>
      <w:r w:rsidRPr="0098558B">
        <w:rPr>
          <w:sz w:val="28"/>
          <w:szCs w:val="28"/>
          <w:lang w:val="ro-RO"/>
        </w:rPr>
        <w:t xml:space="preserve">În conformitate cu art.6 alin.(2) </w:t>
      </w:r>
      <w:proofErr w:type="spellStart"/>
      <w:r w:rsidRPr="0098558B">
        <w:rPr>
          <w:sz w:val="28"/>
          <w:szCs w:val="28"/>
          <w:lang w:val="ro-RO"/>
        </w:rPr>
        <w:t>lit.c</w:t>
      </w:r>
      <w:proofErr w:type="spellEnd"/>
      <w:r w:rsidRPr="0098558B">
        <w:rPr>
          <w:sz w:val="28"/>
          <w:szCs w:val="28"/>
          <w:lang w:val="ro-RO"/>
        </w:rPr>
        <w:t xml:space="preserve">) din Legea nr.293/2017 </w:t>
      </w:r>
      <w:r w:rsidRPr="0098558B">
        <w:rPr>
          <w:bCs/>
          <w:sz w:val="28"/>
          <w:szCs w:val="28"/>
          <w:lang w:val="ro-RO"/>
        </w:rPr>
        <w:t>privind unele măsuri în vederea imp</w:t>
      </w:r>
      <w:r w:rsidR="0043633D">
        <w:rPr>
          <w:bCs/>
          <w:sz w:val="28"/>
          <w:szCs w:val="28"/>
          <w:lang w:val="ro-RO"/>
        </w:rPr>
        <w:t>lementării Programului de stat „</w:t>
      </w:r>
      <w:r w:rsidRPr="0098558B">
        <w:rPr>
          <w:bCs/>
          <w:sz w:val="28"/>
          <w:szCs w:val="28"/>
          <w:lang w:val="ro-RO"/>
        </w:rPr>
        <w:t xml:space="preserve">Prima casă” </w:t>
      </w:r>
      <w:r w:rsidRPr="0098558B">
        <w:rPr>
          <w:sz w:val="28"/>
          <w:szCs w:val="28"/>
          <w:lang w:val="ro-RO"/>
        </w:rPr>
        <w:t xml:space="preserve">(Monitorul Oficial al Republicii Moldova, 2018, nr.18-26, art.95) și </w:t>
      </w:r>
      <w:r w:rsidR="00C72EB2" w:rsidRPr="0098558B">
        <w:rPr>
          <w:sz w:val="28"/>
          <w:szCs w:val="28"/>
          <w:lang w:val="ro-RO"/>
        </w:rPr>
        <w:t>a</w:t>
      </w:r>
      <w:r w:rsidRPr="0098558B">
        <w:rPr>
          <w:sz w:val="28"/>
          <w:szCs w:val="28"/>
          <w:lang w:val="ro-RO"/>
        </w:rPr>
        <w:t>rt. III</w:t>
      </w:r>
      <w:r w:rsidR="002A4FBB" w:rsidRPr="0098558B">
        <w:rPr>
          <w:sz w:val="28"/>
          <w:szCs w:val="28"/>
          <w:lang w:val="ro-RO"/>
        </w:rPr>
        <w:t xml:space="preserve"> </w:t>
      </w:r>
      <w:r w:rsidR="00811D67">
        <w:rPr>
          <w:sz w:val="28"/>
          <w:szCs w:val="28"/>
          <w:lang w:val="ro-RO"/>
        </w:rPr>
        <w:t xml:space="preserve">alin. (2) și </w:t>
      </w:r>
      <w:r w:rsidRPr="0098558B">
        <w:rPr>
          <w:sz w:val="28"/>
          <w:szCs w:val="28"/>
          <w:lang w:val="ro-RO"/>
        </w:rPr>
        <w:t xml:space="preserve">alin.(4) </w:t>
      </w:r>
      <w:r w:rsidR="0040606D" w:rsidRPr="0098558B">
        <w:rPr>
          <w:sz w:val="28"/>
          <w:szCs w:val="28"/>
          <w:lang w:val="ro-RO"/>
        </w:rPr>
        <w:t>din Legea nr.</w:t>
      </w:r>
      <w:r w:rsidR="002A4FBB" w:rsidRPr="0098558B">
        <w:rPr>
          <w:sz w:val="28"/>
          <w:szCs w:val="28"/>
          <w:lang w:val="ro-RO"/>
        </w:rPr>
        <w:t>218</w:t>
      </w:r>
      <w:r w:rsidR="00462E38" w:rsidRPr="0098558B">
        <w:rPr>
          <w:sz w:val="28"/>
          <w:szCs w:val="28"/>
          <w:lang w:val="ro-RO"/>
        </w:rPr>
        <w:t>/</w:t>
      </w:r>
      <w:r w:rsidR="002A4FBB" w:rsidRPr="0098558B">
        <w:rPr>
          <w:sz w:val="28"/>
          <w:szCs w:val="28"/>
          <w:lang w:val="ro-RO"/>
        </w:rPr>
        <w:t>2024</w:t>
      </w:r>
      <w:r w:rsidR="0040606D" w:rsidRPr="0098558B">
        <w:rPr>
          <w:sz w:val="28"/>
          <w:szCs w:val="28"/>
          <w:lang w:val="ro-RO"/>
        </w:rPr>
        <w:t xml:space="preserve"> </w:t>
      </w:r>
      <w:r w:rsidR="002A4FBB" w:rsidRPr="0098558B">
        <w:rPr>
          <w:sz w:val="28"/>
          <w:szCs w:val="28"/>
          <w:lang w:val="ro-RO"/>
        </w:rPr>
        <w:t xml:space="preserve">pentru modificarea unor acte normative („Prima casă Plus”) </w:t>
      </w:r>
      <w:r w:rsidR="0040606D" w:rsidRPr="0098558B">
        <w:rPr>
          <w:sz w:val="28"/>
          <w:szCs w:val="28"/>
          <w:lang w:val="ro-RO"/>
        </w:rPr>
        <w:t>(Monitorul Oficial al Republicii Moldova, 20</w:t>
      </w:r>
      <w:r w:rsidR="002A4FBB" w:rsidRPr="0098558B">
        <w:rPr>
          <w:sz w:val="28"/>
          <w:szCs w:val="28"/>
          <w:lang w:val="ro-RO"/>
        </w:rPr>
        <w:t>24</w:t>
      </w:r>
      <w:r w:rsidR="0040606D" w:rsidRPr="0098558B">
        <w:rPr>
          <w:sz w:val="28"/>
          <w:szCs w:val="28"/>
          <w:lang w:val="ro-RO"/>
        </w:rPr>
        <w:t>, nr.</w:t>
      </w:r>
      <w:r w:rsidR="00F50C48" w:rsidRPr="0098558B">
        <w:rPr>
          <w:sz w:val="28"/>
          <w:szCs w:val="28"/>
          <w:lang w:val="ro-RO"/>
        </w:rPr>
        <w:t>340, art. 504</w:t>
      </w:r>
      <w:r w:rsidR="0040606D" w:rsidRPr="0098558B">
        <w:rPr>
          <w:sz w:val="28"/>
          <w:szCs w:val="28"/>
          <w:lang w:val="ro-RO"/>
        </w:rPr>
        <w:t>),</w:t>
      </w:r>
    </w:p>
    <w:p w:rsidR="00462E38" w:rsidRPr="0098558B" w:rsidRDefault="00462E38" w:rsidP="00F50C48">
      <w:pPr>
        <w:spacing w:line="276" w:lineRule="auto"/>
        <w:jc w:val="center"/>
        <w:rPr>
          <w:b/>
          <w:bCs/>
          <w:sz w:val="28"/>
          <w:szCs w:val="28"/>
          <w:lang w:val="ro-RO" w:eastAsia="en-US"/>
        </w:rPr>
      </w:pPr>
    </w:p>
    <w:p w:rsidR="0040606D" w:rsidRPr="0098558B" w:rsidRDefault="0040606D" w:rsidP="00F50C48">
      <w:pPr>
        <w:spacing w:line="276" w:lineRule="auto"/>
        <w:jc w:val="center"/>
        <w:rPr>
          <w:b/>
          <w:bCs/>
          <w:sz w:val="28"/>
          <w:szCs w:val="28"/>
          <w:lang w:val="ro-RO" w:eastAsia="en-US"/>
        </w:rPr>
      </w:pPr>
      <w:r w:rsidRPr="0098558B">
        <w:rPr>
          <w:b/>
          <w:bCs/>
          <w:sz w:val="28"/>
          <w:szCs w:val="28"/>
          <w:lang w:val="ro-RO" w:eastAsia="en-US"/>
        </w:rPr>
        <w:t>ORDON:</w:t>
      </w:r>
    </w:p>
    <w:p w:rsidR="00F50C48" w:rsidRPr="0098558B" w:rsidRDefault="00F50C48" w:rsidP="00F50C48">
      <w:pPr>
        <w:spacing w:line="276" w:lineRule="auto"/>
        <w:jc w:val="center"/>
        <w:rPr>
          <w:b/>
          <w:bCs/>
          <w:sz w:val="28"/>
          <w:szCs w:val="28"/>
          <w:lang w:val="ro-RO" w:eastAsia="en-US"/>
        </w:rPr>
      </w:pPr>
    </w:p>
    <w:p w:rsidR="00CA20F1" w:rsidRDefault="0098558B" w:rsidP="00CA20F1">
      <w:pPr>
        <w:pStyle w:val="ListParagraph"/>
        <w:numPr>
          <w:ilvl w:val="0"/>
          <w:numId w:val="7"/>
        </w:numPr>
        <w:tabs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98558B">
        <w:rPr>
          <w:sz w:val="28"/>
          <w:szCs w:val="28"/>
          <w:lang w:val="ro-RO"/>
        </w:rPr>
        <w:t xml:space="preserve">La punctul 1 din </w:t>
      </w:r>
      <w:r w:rsidR="002A4FBB" w:rsidRPr="0098558B">
        <w:rPr>
          <w:sz w:val="28"/>
          <w:szCs w:val="28"/>
          <w:lang w:val="ro-RO"/>
        </w:rPr>
        <w:t>Ordinul Ministrului Finanțelor nr. 107/2023 cu privire la stabilirea comisionului de garantare</w:t>
      </w:r>
      <w:r w:rsidR="00005B63" w:rsidRPr="0098558B">
        <w:rPr>
          <w:sz w:val="28"/>
          <w:szCs w:val="28"/>
          <w:lang w:val="ro-RO"/>
        </w:rPr>
        <w:t xml:space="preserve"> (</w:t>
      </w:r>
      <w:r w:rsidR="00F50C48" w:rsidRPr="0098558B">
        <w:rPr>
          <w:sz w:val="28"/>
          <w:szCs w:val="28"/>
          <w:lang w:val="ro-RO"/>
        </w:rPr>
        <w:t>Monitorul Oficial al Republicii</w:t>
      </w:r>
      <w:r w:rsidR="00005B63" w:rsidRPr="0098558B">
        <w:rPr>
          <w:sz w:val="28"/>
          <w:szCs w:val="28"/>
          <w:lang w:val="ro-RO"/>
        </w:rPr>
        <w:t xml:space="preserve"> Moldova</w:t>
      </w:r>
      <w:r w:rsidR="00F50C48" w:rsidRPr="0098558B">
        <w:rPr>
          <w:sz w:val="28"/>
          <w:szCs w:val="28"/>
          <w:lang w:val="ro-RO"/>
        </w:rPr>
        <w:t>, 2023,</w:t>
      </w:r>
      <w:r w:rsidR="00005B63" w:rsidRPr="0098558B">
        <w:rPr>
          <w:sz w:val="28"/>
          <w:szCs w:val="28"/>
          <w:lang w:val="ro-RO"/>
        </w:rPr>
        <w:t xml:space="preserve"> nr. 465-467, art.1156</w:t>
      </w:r>
      <w:r w:rsidRPr="0098558B">
        <w:rPr>
          <w:sz w:val="28"/>
          <w:szCs w:val="28"/>
          <w:lang w:val="ro-RO"/>
        </w:rPr>
        <w:t xml:space="preserve">), </w:t>
      </w:r>
      <w:r w:rsidR="00C72EB2" w:rsidRPr="0098558B">
        <w:rPr>
          <w:sz w:val="28"/>
          <w:szCs w:val="28"/>
          <w:lang w:val="ro-RO"/>
        </w:rPr>
        <w:t>textul</w:t>
      </w:r>
      <w:r w:rsidR="00005B63" w:rsidRPr="0098558B">
        <w:rPr>
          <w:sz w:val="28"/>
          <w:szCs w:val="28"/>
          <w:lang w:val="ro-RO"/>
        </w:rPr>
        <w:t xml:space="preserve"> </w:t>
      </w:r>
      <w:r w:rsidR="00C72EB2" w:rsidRPr="0098558B">
        <w:rPr>
          <w:sz w:val="28"/>
          <w:szCs w:val="28"/>
          <w:lang w:val="ro-RO"/>
        </w:rPr>
        <w:t>„0,5%” se substituie cu textul</w:t>
      </w:r>
      <w:r w:rsidR="00005B63" w:rsidRPr="0098558B">
        <w:rPr>
          <w:sz w:val="28"/>
          <w:szCs w:val="28"/>
          <w:lang w:val="ro-RO"/>
        </w:rPr>
        <w:t xml:space="preserve"> „0,4%”.</w:t>
      </w:r>
    </w:p>
    <w:p w:rsidR="00CA20F1" w:rsidRDefault="009F7FE2" w:rsidP="00CA20F1">
      <w:pPr>
        <w:pStyle w:val="ListParagraph"/>
        <w:numPr>
          <w:ilvl w:val="0"/>
          <w:numId w:val="7"/>
        </w:numPr>
        <w:tabs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Comisionul</w:t>
      </w:r>
      <w:r w:rsidR="008F60EE" w:rsidRPr="00CA20F1">
        <w:rPr>
          <w:sz w:val="28"/>
          <w:szCs w:val="28"/>
          <w:lang w:val="ro-RO"/>
        </w:rPr>
        <w:t xml:space="preserve"> de garantare în mărime de 0,4% se aplică </w:t>
      </w:r>
      <w:proofErr w:type="spellStart"/>
      <w:r w:rsidR="008F60EE" w:rsidRPr="00CA20F1">
        <w:rPr>
          <w:sz w:val="28"/>
          <w:szCs w:val="28"/>
          <w:lang w:val="ro-RO"/>
        </w:rPr>
        <w:t>faţă</w:t>
      </w:r>
      <w:proofErr w:type="spellEnd"/>
      <w:r w:rsidR="008F60EE" w:rsidRPr="00CA20F1">
        <w:rPr>
          <w:sz w:val="28"/>
          <w:szCs w:val="28"/>
          <w:lang w:val="ro-RO"/>
        </w:rPr>
        <w:t xml:space="preserve"> de noii bene</w:t>
      </w:r>
      <w:r w:rsidR="0043633D" w:rsidRPr="00CA20F1">
        <w:rPr>
          <w:sz w:val="28"/>
          <w:szCs w:val="28"/>
          <w:lang w:val="ro-RO"/>
        </w:rPr>
        <w:t>ficiari ai Programului de stat „</w:t>
      </w:r>
      <w:r w:rsidR="008F60EE" w:rsidRPr="00CA20F1">
        <w:rPr>
          <w:sz w:val="28"/>
          <w:szCs w:val="28"/>
          <w:lang w:val="ro-RO"/>
        </w:rPr>
        <w:t xml:space="preserve">Prima casă” din data intrării în vigoare a Legii </w:t>
      </w:r>
      <w:r w:rsidR="008F60EE" w:rsidRPr="00CA20F1">
        <w:rPr>
          <w:sz w:val="28"/>
          <w:szCs w:val="28"/>
          <w:lang w:val="ro-RO" w:eastAsia="en-US"/>
        </w:rPr>
        <w:t>nr.218/2024 pentru modificarea unor acte normative („Prima casă Plus”).</w:t>
      </w:r>
    </w:p>
    <w:p w:rsidR="00CA20F1" w:rsidRDefault="00C72EB2" w:rsidP="00CA20F1">
      <w:pPr>
        <w:pStyle w:val="ListParagraph"/>
        <w:numPr>
          <w:ilvl w:val="0"/>
          <w:numId w:val="7"/>
        </w:numPr>
        <w:tabs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CA20F1">
        <w:rPr>
          <w:sz w:val="28"/>
          <w:szCs w:val="28"/>
          <w:lang w:val="ro-RO"/>
        </w:rPr>
        <w:t xml:space="preserve">Față de beneficiarii Programului de stat „Prima casă”, care au contractat credite ipotecare în cadrul programului </w:t>
      </w:r>
      <w:proofErr w:type="spellStart"/>
      <w:r w:rsidRPr="00CA20F1">
        <w:rPr>
          <w:sz w:val="28"/>
          <w:szCs w:val="28"/>
          <w:lang w:val="ro-RO"/>
        </w:rPr>
        <w:t>pînă</w:t>
      </w:r>
      <w:proofErr w:type="spellEnd"/>
      <w:r w:rsidRPr="00CA20F1">
        <w:rPr>
          <w:sz w:val="28"/>
          <w:szCs w:val="28"/>
          <w:lang w:val="ro-RO"/>
        </w:rPr>
        <w:t xml:space="preserve"> la data intrării în vigoare a Legii </w:t>
      </w:r>
      <w:r w:rsidRPr="00CA20F1">
        <w:rPr>
          <w:sz w:val="28"/>
          <w:szCs w:val="28"/>
          <w:lang w:val="ro-RO" w:eastAsia="en-US"/>
        </w:rPr>
        <w:t>nr.218/2024 pentru modificarea unor acte normative („Prima casă Plus”)</w:t>
      </w:r>
      <w:r w:rsidRPr="00CA20F1">
        <w:rPr>
          <w:sz w:val="28"/>
          <w:szCs w:val="28"/>
          <w:lang w:val="ro-RO"/>
        </w:rPr>
        <w:t xml:space="preserve">, băncile vor aplica comisionul de garantare în mărime de 0,4% </w:t>
      </w:r>
      <w:proofErr w:type="spellStart"/>
      <w:r w:rsidRPr="00CA20F1">
        <w:rPr>
          <w:sz w:val="28"/>
          <w:szCs w:val="28"/>
          <w:lang w:val="ro-RO"/>
        </w:rPr>
        <w:t>începînd</w:t>
      </w:r>
      <w:proofErr w:type="spellEnd"/>
      <w:r w:rsidRPr="00CA20F1">
        <w:rPr>
          <w:sz w:val="28"/>
          <w:szCs w:val="28"/>
          <w:lang w:val="ro-RO"/>
        </w:rPr>
        <w:t xml:space="preserve"> cu </w:t>
      </w:r>
      <w:r w:rsidR="0098558B" w:rsidRPr="00CA20F1">
        <w:rPr>
          <w:sz w:val="28"/>
          <w:szCs w:val="28"/>
          <w:lang w:val="ro-RO"/>
        </w:rPr>
        <w:t xml:space="preserve">data de </w:t>
      </w:r>
      <w:r w:rsidRPr="00CA20F1">
        <w:rPr>
          <w:sz w:val="28"/>
          <w:szCs w:val="28"/>
          <w:lang w:val="ro-RO"/>
        </w:rPr>
        <w:t xml:space="preserve">01.09.2024. </w:t>
      </w:r>
    </w:p>
    <w:p w:rsidR="0040606D" w:rsidRPr="00CA20F1" w:rsidRDefault="0040606D" w:rsidP="00CA20F1">
      <w:pPr>
        <w:pStyle w:val="ListParagraph"/>
        <w:numPr>
          <w:ilvl w:val="0"/>
          <w:numId w:val="7"/>
        </w:numPr>
        <w:tabs>
          <w:tab w:val="left" w:pos="1080"/>
        </w:tabs>
        <w:spacing w:line="276" w:lineRule="auto"/>
        <w:ind w:left="0" w:firstLine="720"/>
        <w:jc w:val="both"/>
        <w:rPr>
          <w:sz w:val="28"/>
          <w:szCs w:val="28"/>
          <w:lang w:val="ro-RO"/>
        </w:rPr>
      </w:pPr>
      <w:r w:rsidRPr="00CA20F1">
        <w:rPr>
          <w:sz w:val="28"/>
          <w:szCs w:val="28"/>
          <w:lang w:val="ro-RO" w:eastAsia="en-US"/>
        </w:rPr>
        <w:t>Prezentul ordin intră în vigoare la data publicării în Monitorul Oficial al Republicii Moldova.</w:t>
      </w:r>
    </w:p>
    <w:p w:rsidR="0040606D" w:rsidRPr="00CA2291" w:rsidRDefault="0040606D" w:rsidP="0040606D">
      <w:pPr>
        <w:ind w:firstLine="567"/>
        <w:jc w:val="both"/>
        <w:rPr>
          <w:sz w:val="28"/>
          <w:szCs w:val="28"/>
          <w:lang w:val="ro-RO" w:eastAsia="en-US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3"/>
        <w:gridCol w:w="2990"/>
      </w:tblGrid>
      <w:tr w:rsidR="0040606D" w:rsidRPr="00D019E3" w:rsidTr="009970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40606D" w:rsidRPr="00CA2291" w:rsidRDefault="0040606D" w:rsidP="0040606D">
            <w:pPr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0606D" w:rsidRPr="00CA2291" w:rsidRDefault="0040606D" w:rsidP="0040606D">
            <w:pPr>
              <w:rPr>
                <w:b/>
                <w:bCs/>
                <w:sz w:val="28"/>
                <w:szCs w:val="28"/>
                <w:lang w:val="ro-RO" w:eastAsia="en-US"/>
              </w:rPr>
            </w:pPr>
          </w:p>
        </w:tc>
      </w:tr>
      <w:tr w:rsidR="0040606D" w:rsidRPr="00CA2291" w:rsidTr="009970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40606D" w:rsidRPr="00CA2291" w:rsidRDefault="0040606D" w:rsidP="002B09A9">
            <w:pPr>
              <w:jc w:val="center"/>
              <w:rPr>
                <w:b/>
                <w:bCs/>
                <w:sz w:val="28"/>
                <w:szCs w:val="28"/>
                <w:lang w:val="ro-RO" w:eastAsia="en-US"/>
              </w:rPr>
            </w:pPr>
            <w:r w:rsidRPr="00CA2291">
              <w:rPr>
                <w:b/>
                <w:bCs/>
                <w:sz w:val="28"/>
                <w:szCs w:val="28"/>
                <w:lang w:val="ro-RO" w:eastAsia="en-US"/>
              </w:rPr>
              <w:t>MINISTRU</w:t>
            </w:r>
            <w:r w:rsidR="00C72EB2" w:rsidRPr="00CA2291">
              <w:rPr>
                <w:b/>
                <w:bCs/>
                <w:sz w:val="28"/>
                <w:szCs w:val="28"/>
                <w:lang w:val="ro-RO" w:eastAsia="en-US"/>
              </w:rPr>
              <w:t>L</w:t>
            </w:r>
            <w:r w:rsidRPr="00CA2291">
              <w:rPr>
                <w:b/>
                <w:bCs/>
                <w:sz w:val="28"/>
                <w:szCs w:val="28"/>
                <w:lang w:val="ro-RO" w:eastAsia="en-US"/>
              </w:rPr>
              <w:t xml:space="preserve"> FINANŢELOR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0606D" w:rsidRPr="00CA2291" w:rsidRDefault="00F50C48" w:rsidP="00D1462D">
            <w:pPr>
              <w:ind w:left="708"/>
              <w:rPr>
                <w:b/>
                <w:bCs/>
                <w:sz w:val="28"/>
                <w:szCs w:val="28"/>
                <w:lang w:val="ro-RO" w:eastAsia="en-US"/>
              </w:rPr>
            </w:pPr>
            <w:r w:rsidRPr="00CA2291">
              <w:rPr>
                <w:b/>
                <w:bCs/>
                <w:color w:val="000000"/>
                <w:sz w:val="28"/>
                <w:szCs w:val="28"/>
                <w:lang w:val="ro-RO" w:eastAsia="en-GB"/>
              </w:rPr>
              <w:t>Victoria</w:t>
            </w:r>
            <w:r w:rsidR="00A35B57" w:rsidRPr="00CA2291">
              <w:rPr>
                <w:b/>
                <w:bCs/>
                <w:color w:val="000000"/>
                <w:sz w:val="28"/>
                <w:szCs w:val="28"/>
                <w:lang w:val="ro-RO" w:eastAsia="en-GB"/>
              </w:rPr>
              <w:t xml:space="preserve"> BELOUS</w:t>
            </w:r>
          </w:p>
        </w:tc>
      </w:tr>
      <w:tr w:rsidR="0040606D" w:rsidRPr="00CA2291" w:rsidTr="0099707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:rsidR="0040606D" w:rsidRPr="00CA2291" w:rsidRDefault="0040606D" w:rsidP="0040606D">
            <w:pPr>
              <w:rPr>
                <w:b/>
                <w:bCs/>
                <w:sz w:val="22"/>
                <w:szCs w:val="22"/>
                <w:lang w:val="ro-RO" w:eastAsia="en-US"/>
              </w:rPr>
            </w:pPr>
          </w:p>
        </w:tc>
      </w:tr>
    </w:tbl>
    <w:p w:rsidR="00D410A2" w:rsidRDefault="00D410A2" w:rsidP="00E048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8"/>
          <w:szCs w:val="28"/>
          <w:lang w:val="ro-RO"/>
        </w:rPr>
      </w:pPr>
    </w:p>
    <w:p w:rsidR="00D019E3" w:rsidRDefault="00D019E3" w:rsidP="00E048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8"/>
          <w:szCs w:val="28"/>
          <w:lang w:val="ro-RO"/>
        </w:rPr>
      </w:pPr>
    </w:p>
    <w:p w:rsidR="00D019E3" w:rsidRDefault="00D019E3" w:rsidP="00E048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8"/>
          <w:szCs w:val="28"/>
          <w:lang w:val="ro-RO"/>
        </w:rPr>
      </w:pPr>
    </w:p>
    <w:p w:rsidR="00D019E3" w:rsidRDefault="00D019E3" w:rsidP="00E048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8"/>
          <w:szCs w:val="28"/>
          <w:lang w:val="ro-RO"/>
        </w:rPr>
      </w:pPr>
    </w:p>
    <w:p w:rsidR="00D019E3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both"/>
        <w:rPr>
          <w:b/>
          <w:sz w:val="28"/>
          <w:szCs w:val="28"/>
          <w:lang w:val="ro-RO"/>
        </w:rPr>
      </w:pPr>
    </w:p>
    <w:p w:rsidR="00D019E3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</w:p>
    <w:p w:rsidR="00D019E3" w:rsidRPr="00D410A2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bCs/>
          <w:sz w:val="28"/>
          <w:szCs w:val="28"/>
          <w:lang w:val="ro-RO"/>
        </w:rPr>
      </w:pPr>
      <w:r w:rsidRPr="00D410A2">
        <w:rPr>
          <w:b/>
          <w:sz w:val="28"/>
          <w:szCs w:val="28"/>
          <w:lang w:val="ro-RO"/>
        </w:rPr>
        <w:t>NOTĂ DE FUNDAMENTARE</w:t>
      </w:r>
    </w:p>
    <w:p w:rsidR="00D019E3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  <w:r w:rsidRPr="00D410A2">
        <w:rPr>
          <w:b/>
          <w:sz w:val="28"/>
          <w:szCs w:val="28"/>
          <w:lang w:val="ro-RO"/>
        </w:rPr>
        <w:t>la proiectul Ordinului cu privire la modificarea Ordinului Ministrului Finanțelor nr.107/2023 cu privire la stabilirea comisionului de garantare</w:t>
      </w:r>
    </w:p>
    <w:p w:rsidR="00D019E3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</w:p>
    <w:p w:rsidR="00D019E3" w:rsidRPr="00D410A2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sz w:val="28"/>
          <w:szCs w:val="28"/>
          <w:lang w:val="ro-RO"/>
        </w:rPr>
      </w:pPr>
      <w:r w:rsidRPr="00D410A2">
        <w:rPr>
          <w:b/>
          <w:sz w:val="28"/>
          <w:szCs w:val="28"/>
          <w:lang w:val="ro-RO"/>
        </w:rPr>
        <w:t xml:space="preserve"> 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D019E3" w:rsidRPr="00D410A2" w:rsidTr="00723824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en-GB"/>
              </w:rPr>
              <w:t>P</w:t>
            </w:r>
            <w:proofErr w:type="spellStart"/>
            <w:r w:rsidRPr="00D410A2">
              <w:rPr>
                <w:sz w:val="26"/>
                <w:szCs w:val="26"/>
                <w:lang w:val="ro-RO"/>
              </w:rPr>
              <w:t>roiectul</w:t>
            </w:r>
            <w:proofErr w:type="spellEnd"/>
            <w:r w:rsidRPr="00D410A2">
              <w:rPr>
                <w:sz w:val="26"/>
                <w:szCs w:val="26"/>
                <w:lang w:val="ro-RO"/>
              </w:rPr>
              <w:t xml:space="preserve"> Ordinului cu privire la modificarea Ordinului Ministrului Finanțelor nr.107/2023 cu privire la stabilirea comisionului de garantare, este elaborat de către Ministerul Finanțelor.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2. Condițiile ce au impus elaborarea proiectului actului normativ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>Elaborarea proiectului Ordinului cu privire la modificarea Ordinului Ministrului Finanțelor nr.107/2023 cu privire la stabilirea comisionului de garantare derivă din necesitatea ajustării cadrului normativ secundar la prevederile Legii nr. 218/2024 pentru modificarea unor acte normative („Prima casă Plus”), care prevede în mod special operarea modificărilor și completărilor la Legea nr. 293/2017 privind unele măsuri în vederea implementării Programului de stat „Prima casă”.</w:t>
            </w:r>
          </w:p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</w:t>
            </w:r>
            <w:r w:rsidRPr="00D410A2">
              <w:rPr>
                <w:sz w:val="26"/>
                <w:szCs w:val="26"/>
                <w:lang w:val="ro-RO"/>
              </w:rPr>
              <w:t xml:space="preserve">otrivit art.6 alin.(2) </w:t>
            </w:r>
            <w:proofErr w:type="spellStart"/>
            <w:r w:rsidRPr="00D410A2">
              <w:rPr>
                <w:sz w:val="26"/>
                <w:szCs w:val="26"/>
                <w:lang w:val="ro-RO"/>
              </w:rPr>
              <w:t>lit.c</w:t>
            </w:r>
            <w:proofErr w:type="spellEnd"/>
            <w:r w:rsidRPr="00D410A2">
              <w:rPr>
                <w:sz w:val="26"/>
                <w:szCs w:val="26"/>
                <w:lang w:val="ro-RO"/>
              </w:rPr>
              <w:t xml:space="preserve">) din Legea nr.293/2017 </w:t>
            </w:r>
            <w:r w:rsidRPr="00D410A2">
              <w:rPr>
                <w:bCs/>
                <w:sz w:val="26"/>
                <w:szCs w:val="26"/>
                <w:lang w:val="ro-RO"/>
              </w:rPr>
              <w:t xml:space="preserve">privind unele măsuri în vederea implementării Programului de stat „Prima casă”, </w:t>
            </w:r>
            <w:r w:rsidRPr="00D410A2">
              <w:rPr>
                <w:sz w:val="26"/>
                <w:szCs w:val="26"/>
                <w:lang w:val="ro-RO"/>
              </w:rPr>
              <w:t xml:space="preserve">comisionul de garantare, achitat de către beneficiarii Programului, este stabilit de către Ministerul </w:t>
            </w:r>
            <w:proofErr w:type="spellStart"/>
            <w:r w:rsidRPr="00D410A2">
              <w:rPr>
                <w:sz w:val="26"/>
                <w:szCs w:val="26"/>
                <w:lang w:val="ro-RO"/>
              </w:rPr>
              <w:t>Finanţelor</w:t>
            </w:r>
            <w:proofErr w:type="spellEnd"/>
            <w:r w:rsidRPr="00D410A2">
              <w:rPr>
                <w:sz w:val="26"/>
                <w:szCs w:val="26"/>
                <w:lang w:val="ro-RO"/>
              </w:rPr>
              <w:t>.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3. Obiectivele urmărite și soluțiile propuse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 xml:space="preserve">În conformitate cu proiectul Ordinului cu privire la modificarea Ordinului Ministrului Finanțelor nr.107/2023, se stabilește comisionul de garantare în mărime de 0,4% anual din soldul garanției de stat, care va fi aplicat pe parcursul anilor 2024-2025, pentru creditele garantate de către stat în cadrul Programului de stat „Prima casă”, </w:t>
            </w:r>
            <w:proofErr w:type="spellStart"/>
            <w:r w:rsidRPr="00D410A2">
              <w:rPr>
                <w:sz w:val="26"/>
                <w:szCs w:val="26"/>
                <w:lang w:val="ro-RO"/>
              </w:rPr>
              <w:t>avînd</w:t>
            </w:r>
            <w:proofErr w:type="spellEnd"/>
            <w:r w:rsidRPr="00D410A2">
              <w:rPr>
                <w:sz w:val="26"/>
                <w:szCs w:val="26"/>
                <w:lang w:val="ro-RO"/>
              </w:rPr>
              <w:t xml:space="preserve"> în vedere prevederile Art. I, pct. 2 din Legea nr. 218/2024 pentru modificarea unor acte normative („Prima casă Plus”). </w:t>
            </w:r>
          </w:p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Comisionul de garantare se achită de către beneficiarii Programului și se încasează de către creditor (banca finanțatoare) în favoarea Instituției Publice Organizația pentru Dezvoltarea </w:t>
            </w:r>
            <w:proofErr w:type="spellStart"/>
            <w:r w:rsidRPr="00D410A2">
              <w:rPr>
                <w:rFonts w:eastAsia="Calibri"/>
                <w:sz w:val="26"/>
                <w:szCs w:val="26"/>
                <w:lang w:val="ro-RO"/>
              </w:rPr>
              <w:t>Antreprenoriatului</w:t>
            </w:r>
            <w:proofErr w:type="spellEnd"/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. </w:t>
            </w:r>
            <w:proofErr w:type="spellStart"/>
            <w:r w:rsidRPr="00D410A2">
              <w:rPr>
                <w:rFonts w:eastAsia="Calibri"/>
                <w:sz w:val="26"/>
                <w:szCs w:val="26"/>
                <w:lang w:val="ro-RO"/>
              </w:rPr>
              <w:t>Pînă</w:t>
            </w:r>
            <w:proofErr w:type="spellEnd"/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 la adoptarea modificărilor și completărilor la Legea nr.293/2017, comisionul de garantare a constituit 0,5% anual.</w:t>
            </w:r>
          </w:p>
        </w:tc>
      </w:tr>
      <w:tr w:rsidR="00D019E3" w:rsidRPr="00D410A2" w:rsidTr="00723824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 xml:space="preserve">4. Analiza impactului de reglementare 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 xml:space="preserve">Nu este aplicabil la această etapă, </w:t>
            </w:r>
            <w:proofErr w:type="spellStart"/>
            <w:r w:rsidRPr="00D410A2">
              <w:rPr>
                <w:sz w:val="26"/>
                <w:szCs w:val="26"/>
                <w:lang w:val="ro-RO"/>
              </w:rPr>
              <w:t>întrucît</w:t>
            </w:r>
            <w:proofErr w:type="spellEnd"/>
            <w:r w:rsidRPr="00D410A2">
              <w:rPr>
                <w:sz w:val="26"/>
                <w:szCs w:val="26"/>
                <w:lang w:val="ro-RO"/>
              </w:rPr>
              <w:t xml:space="preserve"> modificarea Ordinului Ministrului Finanțelor nr.107/2023 derivă din necesitatea ajustării acestuia la prevederile Legii nr. 218/2024 pentru modificarea unor acte normative („Prima casă Plus”).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 xml:space="preserve">5. Compatibilitatea proiectului actului normativ cu legislația UE 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>Proiectul nu prevede armonizarea legislației naționale cu legislația Uniunii Europene.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6. Avizarea și consultarea publică a proiectului actului normativ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>Proiectul urmează a fi supus avizării și consultării publice în conformitate cu prevederile art. 32 alin. (5) din Legea nr. 100/2017 cu privire la actele normative.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7. Concluziile expertizelor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ro-RO"/>
              </w:rPr>
              <w:t>-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8. Modul de încorporare a actului în cadrul normativ existent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>Proiectul propus vine să modifice Ordinul Ministrului Finanțelor nr.107/2023 cu privire la stabilirea comisionului de garantare în corelare cu prevederile actelor normative în vigoare (Legea nr. 218/2024) și nu afectează concepția generală ori caracterul unitar al cadrului normativ în vigoare.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lastRenderedPageBreak/>
              <w:t>9. Măsurile necesare pentru implementarea prevederilor proiectului actului normativ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>Pentru a asigura concordanța prevederilor actelor normative și punerea eficientă în aplicare a acestora, la pct. 2 și</w:t>
            </w:r>
            <w:r>
              <w:rPr>
                <w:sz w:val="26"/>
                <w:szCs w:val="26"/>
                <w:lang w:val="ro-RO"/>
              </w:rPr>
              <w:t xml:space="preserve"> pct.</w:t>
            </w:r>
            <w:r w:rsidRPr="00D410A2">
              <w:rPr>
                <w:sz w:val="26"/>
                <w:szCs w:val="26"/>
                <w:lang w:val="ro-RO"/>
              </w:rPr>
              <w:t xml:space="preserve"> 3 din proiectul Ordinului cu privire la modificarea Ordinului Ministrului Finanțelor nr.107/2023, s-a stabilit că comisionul</w:t>
            </w:r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 de garantare în mărime de 0,4% se aplică </w:t>
            </w:r>
            <w:proofErr w:type="spellStart"/>
            <w:r w:rsidRPr="00D410A2">
              <w:rPr>
                <w:rFonts w:eastAsia="Calibri"/>
                <w:sz w:val="26"/>
                <w:szCs w:val="26"/>
                <w:lang w:val="ro-RO"/>
              </w:rPr>
              <w:t>faţă</w:t>
            </w:r>
            <w:proofErr w:type="spellEnd"/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 de noii beneficiari ai Programului de stat „Prima casă” din data intrării în vigoare a Legii nr.218/2024 pentru modificarea unor act</w:t>
            </w:r>
            <w:r w:rsidRPr="00D410A2">
              <w:rPr>
                <w:sz w:val="26"/>
                <w:szCs w:val="26"/>
                <w:lang w:val="ro-RO"/>
              </w:rPr>
              <w:t>e normative („Prima casă Plus”), iar f</w:t>
            </w:r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ață de beneficiarii Programului de stat „Prima casă”, care au contractat credite ipotecare în cadrul programului </w:t>
            </w:r>
            <w:proofErr w:type="spellStart"/>
            <w:r w:rsidRPr="00D410A2">
              <w:rPr>
                <w:rFonts w:eastAsia="Calibri"/>
                <w:sz w:val="26"/>
                <w:szCs w:val="26"/>
                <w:lang w:val="ro-RO"/>
              </w:rPr>
              <w:t>pînă</w:t>
            </w:r>
            <w:proofErr w:type="spellEnd"/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 la data intrării în vigoare a Legii nr.218/2024, băncile vor aplica comisionul de garantare în mărime de 0,4% </w:t>
            </w:r>
            <w:proofErr w:type="spellStart"/>
            <w:r w:rsidRPr="00D410A2">
              <w:rPr>
                <w:rFonts w:eastAsia="Calibri"/>
                <w:sz w:val="26"/>
                <w:szCs w:val="26"/>
                <w:lang w:val="ro-RO"/>
              </w:rPr>
              <w:t>începînd</w:t>
            </w:r>
            <w:proofErr w:type="spellEnd"/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 cu data de 01.09.2024.</w:t>
            </w:r>
          </w:p>
        </w:tc>
      </w:tr>
    </w:tbl>
    <w:p w:rsidR="00D019E3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lang w:val="ro-RO"/>
        </w:rPr>
      </w:pPr>
    </w:p>
    <w:p w:rsidR="00D019E3" w:rsidRDefault="00D019E3" w:rsidP="00D019E3">
      <w:pPr>
        <w:jc w:val="both"/>
        <w:rPr>
          <w:lang w:val="ro-RO"/>
        </w:rPr>
      </w:pPr>
    </w:p>
    <w:p w:rsidR="00D019E3" w:rsidRDefault="00D019E3" w:rsidP="00D019E3">
      <w:pPr>
        <w:jc w:val="both"/>
        <w:rPr>
          <w:lang w:val="ro-RO"/>
        </w:rPr>
      </w:pPr>
    </w:p>
    <w:p w:rsidR="00D019E3" w:rsidRDefault="00D019E3" w:rsidP="00D019E3">
      <w:pPr>
        <w:jc w:val="both"/>
        <w:rPr>
          <w:lang w:val="ro-RO"/>
        </w:rPr>
      </w:pPr>
    </w:p>
    <w:tbl>
      <w:tblPr>
        <w:tblW w:w="0" w:type="auto"/>
        <w:tblInd w:w="-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0"/>
        <w:gridCol w:w="4045"/>
      </w:tblGrid>
      <w:tr w:rsidR="00D019E3" w:rsidRPr="00CA2291" w:rsidTr="00723824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D019E3" w:rsidRPr="00CA2291" w:rsidRDefault="00D019E3" w:rsidP="00723824">
            <w:pPr>
              <w:jc w:val="right"/>
              <w:rPr>
                <w:b/>
                <w:bCs/>
                <w:sz w:val="28"/>
                <w:szCs w:val="28"/>
                <w:lang w:val="ro-RO" w:eastAsia="en-US"/>
              </w:rPr>
            </w:pPr>
            <w:r w:rsidRPr="00CA2291">
              <w:rPr>
                <w:b/>
                <w:bCs/>
                <w:sz w:val="28"/>
                <w:szCs w:val="28"/>
                <w:lang w:val="ro-RO" w:eastAsia="en-US"/>
              </w:rPr>
              <w:t>MINISTRUL FINANŢELOR</w:t>
            </w:r>
            <w:r>
              <w:rPr>
                <w:b/>
                <w:bCs/>
                <w:sz w:val="28"/>
                <w:szCs w:val="28"/>
                <w:lang w:val="ro-RO" w:eastAsia="en-US"/>
              </w:rPr>
              <w:t xml:space="preserve">  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019E3" w:rsidRPr="00CA2291" w:rsidRDefault="00D019E3" w:rsidP="00723824">
            <w:pPr>
              <w:ind w:left="708"/>
              <w:rPr>
                <w:b/>
                <w:bCs/>
                <w:sz w:val="28"/>
                <w:szCs w:val="28"/>
                <w:lang w:val="ro-RO" w:eastAsia="en-US"/>
              </w:rPr>
            </w:pPr>
            <w:r w:rsidRPr="00CA2291">
              <w:rPr>
                <w:b/>
                <w:bCs/>
                <w:color w:val="000000"/>
                <w:sz w:val="28"/>
                <w:szCs w:val="28"/>
                <w:lang w:val="ro-RO" w:eastAsia="en-GB"/>
              </w:rPr>
              <w:t>Victoria BELOUS</w:t>
            </w:r>
          </w:p>
        </w:tc>
      </w:tr>
    </w:tbl>
    <w:p w:rsidR="00D019E3" w:rsidRPr="00CA2291" w:rsidRDefault="00D019E3" w:rsidP="00D019E3">
      <w:pPr>
        <w:jc w:val="both"/>
        <w:rPr>
          <w:lang w:val="ro-RO"/>
        </w:rPr>
      </w:pPr>
    </w:p>
    <w:p w:rsidR="00D019E3" w:rsidRPr="006C6831" w:rsidRDefault="00D019E3" w:rsidP="00D019E3"/>
    <w:p w:rsidR="00D019E3" w:rsidRDefault="00D019E3" w:rsidP="00E048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8"/>
          <w:szCs w:val="28"/>
          <w:lang w:val="ro-RO"/>
        </w:rPr>
      </w:pPr>
      <w:bookmarkStart w:id="0" w:name="_GoBack"/>
      <w:bookmarkEnd w:id="0"/>
    </w:p>
    <w:sectPr w:rsidR="00D019E3" w:rsidSect="00F5382A">
      <w:pgSz w:w="11906" w:h="16838"/>
      <w:pgMar w:top="425" w:right="107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8F9"/>
    <w:multiLevelType w:val="hybridMultilevel"/>
    <w:tmpl w:val="7870E39A"/>
    <w:lvl w:ilvl="0" w:tplc="2AF0BAF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31AC3EF3"/>
    <w:multiLevelType w:val="multilevel"/>
    <w:tmpl w:val="58A4E0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1F84"/>
    <w:multiLevelType w:val="hybridMultilevel"/>
    <w:tmpl w:val="E044180E"/>
    <w:lvl w:ilvl="0" w:tplc="1D1872E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3B92"/>
    <w:rsid w:val="00005B63"/>
    <w:rsid w:val="00051427"/>
    <w:rsid w:val="000669D1"/>
    <w:rsid w:val="0009382E"/>
    <w:rsid w:val="000C5D17"/>
    <w:rsid w:val="000C7629"/>
    <w:rsid w:val="000E704D"/>
    <w:rsid w:val="000F6002"/>
    <w:rsid w:val="00176CB0"/>
    <w:rsid w:val="0019260B"/>
    <w:rsid w:val="0019383C"/>
    <w:rsid w:val="001E0794"/>
    <w:rsid w:val="001E0B50"/>
    <w:rsid w:val="00204861"/>
    <w:rsid w:val="002300A1"/>
    <w:rsid w:val="00233AFB"/>
    <w:rsid w:val="0024088F"/>
    <w:rsid w:val="0029350E"/>
    <w:rsid w:val="002A4FBB"/>
    <w:rsid w:val="002A6337"/>
    <w:rsid w:val="002B09A9"/>
    <w:rsid w:val="00313392"/>
    <w:rsid w:val="00325FF3"/>
    <w:rsid w:val="00333770"/>
    <w:rsid w:val="003B2712"/>
    <w:rsid w:val="003B758F"/>
    <w:rsid w:val="003D66FD"/>
    <w:rsid w:val="003E1E5D"/>
    <w:rsid w:val="003E5CCC"/>
    <w:rsid w:val="00404E48"/>
    <w:rsid w:val="0040606D"/>
    <w:rsid w:val="0043633D"/>
    <w:rsid w:val="00446CB5"/>
    <w:rsid w:val="00462198"/>
    <w:rsid w:val="00462E38"/>
    <w:rsid w:val="004C1908"/>
    <w:rsid w:val="004D6675"/>
    <w:rsid w:val="00505006"/>
    <w:rsid w:val="005119F8"/>
    <w:rsid w:val="00515829"/>
    <w:rsid w:val="00530E97"/>
    <w:rsid w:val="00533925"/>
    <w:rsid w:val="00544B25"/>
    <w:rsid w:val="0055303D"/>
    <w:rsid w:val="005610A5"/>
    <w:rsid w:val="00562836"/>
    <w:rsid w:val="005C2DE6"/>
    <w:rsid w:val="005E72D8"/>
    <w:rsid w:val="005E7980"/>
    <w:rsid w:val="005F2917"/>
    <w:rsid w:val="005F650D"/>
    <w:rsid w:val="00602165"/>
    <w:rsid w:val="00603AFA"/>
    <w:rsid w:val="0064438D"/>
    <w:rsid w:val="006B1708"/>
    <w:rsid w:val="006D2BA1"/>
    <w:rsid w:val="00713472"/>
    <w:rsid w:val="00716D6C"/>
    <w:rsid w:val="00721880"/>
    <w:rsid w:val="00721979"/>
    <w:rsid w:val="00724F95"/>
    <w:rsid w:val="00770883"/>
    <w:rsid w:val="007717FC"/>
    <w:rsid w:val="007D384D"/>
    <w:rsid w:val="007E5D8C"/>
    <w:rsid w:val="007E69D2"/>
    <w:rsid w:val="00811D67"/>
    <w:rsid w:val="008A2773"/>
    <w:rsid w:val="008A726D"/>
    <w:rsid w:val="008F60EE"/>
    <w:rsid w:val="009051A1"/>
    <w:rsid w:val="009371B5"/>
    <w:rsid w:val="0095023A"/>
    <w:rsid w:val="0097657D"/>
    <w:rsid w:val="0098558B"/>
    <w:rsid w:val="009E4DC4"/>
    <w:rsid w:val="009F7AA2"/>
    <w:rsid w:val="009F7FE2"/>
    <w:rsid w:val="00A35B57"/>
    <w:rsid w:val="00A52B34"/>
    <w:rsid w:val="00A560D0"/>
    <w:rsid w:val="00A733DE"/>
    <w:rsid w:val="00A96D12"/>
    <w:rsid w:val="00B1497F"/>
    <w:rsid w:val="00B2050B"/>
    <w:rsid w:val="00B24BC6"/>
    <w:rsid w:val="00B3137B"/>
    <w:rsid w:val="00B35ED7"/>
    <w:rsid w:val="00BD656F"/>
    <w:rsid w:val="00BF5B35"/>
    <w:rsid w:val="00BF671F"/>
    <w:rsid w:val="00C00199"/>
    <w:rsid w:val="00C21726"/>
    <w:rsid w:val="00C44E99"/>
    <w:rsid w:val="00C512F2"/>
    <w:rsid w:val="00C656CA"/>
    <w:rsid w:val="00C72EB2"/>
    <w:rsid w:val="00CA20F1"/>
    <w:rsid w:val="00CA2291"/>
    <w:rsid w:val="00CF1309"/>
    <w:rsid w:val="00D019E3"/>
    <w:rsid w:val="00D1462D"/>
    <w:rsid w:val="00D24095"/>
    <w:rsid w:val="00D410A2"/>
    <w:rsid w:val="00D4504C"/>
    <w:rsid w:val="00D54A54"/>
    <w:rsid w:val="00D7284F"/>
    <w:rsid w:val="00D740BF"/>
    <w:rsid w:val="00D77EAB"/>
    <w:rsid w:val="00DB04DD"/>
    <w:rsid w:val="00DC23C7"/>
    <w:rsid w:val="00E048A6"/>
    <w:rsid w:val="00E27C5B"/>
    <w:rsid w:val="00E776C4"/>
    <w:rsid w:val="00E80F8B"/>
    <w:rsid w:val="00E824CA"/>
    <w:rsid w:val="00EE0C0A"/>
    <w:rsid w:val="00F04593"/>
    <w:rsid w:val="00F1144A"/>
    <w:rsid w:val="00F41385"/>
    <w:rsid w:val="00F50C48"/>
    <w:rsid w:val="00F536BA"/>
    <w:rsid w:val="00F5382A"/>
    <w:rsid w:val="00F53C81"/>
    <w:rsid w:val="00F54371"/>
    <w:rsid w:val="00F621B9"/>
    <w:rsid w:val="00F90635"/>
    <w:rsid w:val="00FC6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7CFE"/>
  <w15:docId w15:val="{BCB5646D-2EAD-4DF2-9771-0C54BA86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t">
    <w:name w:val="tt"/>
    <w:basedOn w:val="Normal"/>
    <w:rsid w:val="00003B92"/>
    <w:pPr>
      <w:spacing w:before="100" w:beforeAutospacing="1" w:after="100" w:afterAutospacing="1"/>
    </w:pPr>
  </w:style>
  <w:style w:type="paragraph" w:customStyle="1" w:styleId="md">
    <w:name w:val="md"/>
    <w:basedOn w:val="Normal"/>
    <w:rsid w:val="00003B92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40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B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emit">
    <w:name w:val="emit"/>
    <w:basedOn w:val="Normal"/>
    <w:rsid w:val="00562836"/>
    <w:pPr>
      <w:spacing w:before="100" w:beforeAutospacing="1" w:after="100" w:afterAutospacing="1"/>
    </w:pPr>
    <w:rPr>
      <w:lang w:val="en-US" w:eastAsia="en-US"/>
    </w:rPr>
  </w:style>
  <w:style w:type="paragraph" w:customStyle="1" w:styleId="ttsp">
    <w:name w:val="tt_sp"/>
    <w:basedOn w:val="Normal"/>
    <w:rsid w:val="00562836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562836"/>
    <w:pPr>
      <w:spacing w:before="100" w:beforeAutospacing="1" w:after="100" w:afterAutospacing="1"/>
    </w:pPr>
    <w:rPr>
      <w:lang w:val="en-US" w:eastAsia="en-US"/>
    </w:rPr>
  </w:style>
  <w:style w:type="paragraph" w:customStyle="1" w:styleId="cb">
    <w:name w:val="cb"/>
    <w:basedOn w:val="Normal"/>
    <w:rsid w:val="00562836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F50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aaaa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Vircolici Ana</cp:lastModifiedBy>
  <cp:revision>12</cp:revision>
  <cp:lastPrinted>2024-08-14T10:35:00Z</cp:lastPrinted>
  <dcterms:created xsi:type="dcterms:W3CDTF">2024-08-14T05:15:00Z</dcterms:created>
  <dcterms:modified xsi:type="dcterms:W3CDTF">2024-08-14T10:35:00Z</dcterms:modified>
</cp:coreProperties>
</file>