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99" w:rsidRPr="004F2299" w:rsidRDefault="004F2299" w:rsidP="004F2299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299" w:rsidRPr="0023770D" w:rsidRDefault="004F2299" w:rsidP="004F2299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TABEL COMPARATIV</w:t>
      </w:r>
    </w:p>
    <w:p w:rsidR="004F2299" w:rsidRPr="0023770D" w:rsidRDefault="004F2299" w:rsidP="004F2299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77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la proiectul cu privire la modificarea unor hotărâri ale Guvernului </w:t>
      </w:r>
    </w:p>
    <w:p w:rsidR="004F2299" w:rsidRDefault="004F2299" w:rsidP="004F2299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77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(pentru implementarea Codului funciar nr.22/2024)</w:t>
      </w:r>
    </w:p>
    <w:p w:rsidR="0023770D" w:rsidRPr="0023770D" w:rsidRDefault="0023770D" w:rsidP="004F2299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15281" w:type="dxa"/>
        <w:tblInd w:w="-35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20"/>
        <w:gridCol w:w="3650"/>
        <w:gridCol w:w="13"/>
        <w:gridCol w:w="4085"/>
        <w:gridCol w:w="12"/>
        <w:gridCol w:w="3725"/>
        <w:gridCol w:w="29"/>
        <w:gridCol w:w="1920"/>
      </w:tblGrid>
      <w:tr w:rsidR="004F2299" w:rsidRPr="004F2299" w:rsidTr="00E92507">
        <w:trPr>
          <w:trHeight w:val="2319"/>
        </w:trPr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99" w:rsidRPr="004F2299" w:rsidRDefault="004F2299" w:rsidP="004F2299">
            <w:pPr>
              <w:keepNext/>
              <w:keepLines/>
              <w:shd w:val="clear" w:color="auto" w:fill="FFFFFF"/>
              <w:spacing w:before="165" w:after="165" w:line="276" w:lineRule="auto"/>
              <w:jc w:val="center"/>
              <w:outlineLvl w:val="3"/>
              <w:rPr>
                <w:rFonts w:ascii="Times New Roman" w:eastAsiaTheme="majorEastAsia" w:hAnsi="Times New Roman" w:cs="Times New Roman"/>
                <w:b/>
                <w:bCs/>
                <w:iCs/>
                <w:sz w:val="28"/>
                <w:szCs w:val="28"/>
              </w:rPr>
            </w:pPr>
            <w:r w:rsidRPr="004F2299">
              <w:rPr>
                <w:rFonts w:ascii="Times New Roman" w:eastAsiaTheme="majorEastAsia" w:hAnsi="Times New Roman" w:cs="Times New Roman"/>
                <w:b/>
                <w:bCs/>
                <w:iCs/>
                <w:sz w:val="28"/>
                <w:szCs w:val="28"/>
              </w:rPr>
              <w:t>Acte</w:t>
            </w:r>
          </w:p>
          <w:p w:rsidR="004F2299" w:rsidRPr="004F2299" w:rsidRDefault="004F2299" w:rsidP="004F2299">
            <w:pPr>
              <w:keepNext/>
              <w:keepLines/>
              <w:shd w:val="clear" w:color="auto" w:fill="FFFFFF"/>
              <w:spacing w:before="165" w:after="165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Theme="majorEastAsia" w:hAnsi="Times New Roman" w:cs="Times New Roman"/>
                <w:b/>
                <w:bCs/>
                <w:iCs/>
                <w:sz w:val="28"/>
                <w:szCs w:val="28"/>
              </w:rPr>
              <w:t>normative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99" w:rsidRPr="004F2299" w:rsidRDefault="004F2299" w:rsidP="004F229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Conținutul normelor în vigoare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2299" w:rsidRPr="004F2299" w:rsidRDefault="004F2299" w:rsidP="004F229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Modificarea</w:t>
            </w:r>
          </w:p>
        </w:tc>
        <w:tc>
          <w:tcPr>
            <w:tcW w:w="3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99" w:rsidRPr="004F2299" w:rsidRDefault="004F2299" w:rsidP="004F229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Conținutul normelor după modificare</w:t>
            </w: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99" w:rsidRPr="004F2299" w:rsidRDefault="004F2299" w:rsidP="004F2299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Proiectul hotărârii cu privire la modificarea unor hotărâri ale Guvernului (pentru implementarea Codului funciar nr.22/2024)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Hotărârea Guvernului nr. 1157/2008</w:t>
            </w:r>
          </w:p>
        </w:tc>
      </w:tr>
      <w:tr w:rsidR="004F2299" w:rsidRPr="004F2299" w:rsidTr="00E92507">
        <w:tc>
          <w:tcPr>
            <w:tcW w:w="1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Pct.2</w:t>
            </w:r>
          </w:p>
        </w:tc>
        <w:tc>
          <w:tcPr>
            <w:tcW w:w="36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0" w:line="253" w:lineRule="atLeast"/>
              <w:ind w:left="52" w:right="216" w:firstLine="42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Controlul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asupra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executării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prezentei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hotărîri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pune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sarcina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Ministerului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Agriculturii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Dezvoltării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Regionale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și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Mediului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0" w:line="240" w:lineRule="auto"/>
              <w:ind w:left="209" w:right="216" w:firstLine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La punctul 2 din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Hotărârea Guvernului nr. 1157/2008,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sintagma „Ministerul Agriculturii, Dezvoltării Regionale și Mediului”, se substituie cu sintagma „Ministerul Agriculturii și Industriei Alimentare”.</w:t>
            </w:r>
          </w:p>
          <w:p w:rsidR="004F2299" w:rsidRPr="004F2299" w:rsidRDefault="004F2299" w:rsidP="004F229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0" w:line="253" w:lineRule="atLeast"/>
              <w:ind w:left="210" w:right="11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Controlul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asupra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executării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prezentei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hotărîri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pune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sarcina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</w:t>
            </w:r>
            <w:r w:rsidRPr="001B78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Ministerului Agriculturii și Industriei Alimentare.</w:t>
            </w: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Pct.2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În Hotărârea Guvernului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nr.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1001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2014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Pct.2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Pct.26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Pct.28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Pct.29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2.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Industriei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Alimentare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asigura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realizarea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prevederilor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Conceptului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Sistemului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informaţional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solurilor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Moldova”.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26.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Posesorul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deținătorul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SI „RSRM”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Industriei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Alimentare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care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își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exercită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competențele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conformitate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prevederile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467/2003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informatizare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la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resursele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informaționale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stat.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28.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Posesorul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SI „RSRM”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împuternicește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act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administrativ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funcţii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înregistrare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datelor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sistemul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informațional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entități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de stat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specializate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domeniu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IP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Pedologie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Agrochimie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Protecţia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Solurilor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„N.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Dimo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”;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ÎS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Proiectări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Teritoriului</w:t>
            </w:r>
            <w:proofErr w:type="spellEnd"/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29.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Furnizorii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date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Furnizor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sunt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IP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Pedologie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Agrochimie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Protecţia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Solurilor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„N.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Dimo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”;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ÎS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Proiectări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Teritoriului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3) </w:t>
            </w:r>
            <w:proofErr w:type="spellStart"/>
            <w:proofErr w:type="gram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alte</w:t>
            </w:r>
            <w:proofErr w:type="spellEnd"/>
            <w:proofErr w:type="gram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entități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publice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autorizate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dreptul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efectua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investigaţii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pedologice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La pct.2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din hotărâre sintagma „Ministerul Agriculturii și Industriei Alimentare” se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lastRenderedPageBreak/>
              <w:t xml:space="preserve">substituie cu sintagma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„Agenția Națională de Îmbunătățiri Funciare”</w:t>
            </w: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punctul 26  v-a avea următorul cuprins:</w:t>
            </w: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„ Posesorul SI "RSRM" este Ministerul Agriculturii și Industriei Alimentare, și deținătorul acestuia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este Agenția Națională de Îmbunătățiri Funciare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care își exercită competențele în conformitate cu prevederile Legii nr. 467/2003 cu privire la informatizare și la resursele informaționale de stat” .</w:t>
            </w: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186" w:right="239" w:firstLine="28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o-RO"/>
              </w:rPr>
              <w:t xml:space="preserve"> punctul 28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o-RO"/>
              </w:rPr>
              <w:t xml:space="preserve">se completează cu subpunctul 3) cu următorul cuprins: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o-RO"/>
              </w:rPr>
              <w:t>„Agenția Națională de Îmbunătățiri Funciare”.</w:t>
            </w:r>
          </w:p>
          <w:p w:rsidR="004F2299" w:rsidRPr="004F2299" w:rsidRDefault="004F2299" w:rsidP="004F2299">
            <w:pPr>
              <w:spacing w:after="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o-RO"/>
              </w:rPr>
              <w:t>punctul 29, se completează cu subpunctul 4) cu următorul cuprins: „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o-RO"/>
              </w:rPr>
              <w:t>Agenția Națională de Îmbunătățiri Funciare”.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 w:firstLine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1B78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Agenția Națională de Îmbunătățiri Funciare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va asigura realizarea prevederilor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Conceptului Sistemului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informaţional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„Registrul solurilor Republicii Moldova”.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Posesorul SI "RSRM" este Ministerul Agriculturii și Industriei Alimentare, și deținătorul acestuia este </w:t>
            </w:r>
            <w:r w:rsidRPr="001B78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Agenția Națională de Îmbunătățiri Funciare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care își exercită competențele în conformitate cu prevederile Legii nr. 467/2003 cu privire la informatizare și la resursele informaționale de stat.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28.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Posesorul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SI „RSRM”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împuternicește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act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administrativ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funcţii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înregistrare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datelor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sistemul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informațional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entități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de stat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specializate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domeniu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: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lastRenderedPageBreak/>
              <w:t xml:space="preserve">1) IP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Pedologie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Agrochimie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Protecţia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Solurilor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„N.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Dimo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”;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2) ÎS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Proiectări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Organizarea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Teritoriului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.</w:t>
            </w:r>
            <w:proofErr w:type="gramEnd"/>
          </w:p>
          <w:p w:rsidR="004F2299" w:rsidRPr="001B78BE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3) </w:t>
            </w:r>
            <w:proofErr w:type="spellStart"/>
            <w:r w:rsidRPr="001B78B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Agenția</w:t>
            </w:r>
            <w:proofErr w:type="spellEnd"/>
            <w:r w:rsidRPr="001B78B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B78B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Națională</w:t>
            </w:r>
            <w:proofErr w:type="spellEnd"/>
            <w:r w:rsidRPr="001B78B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1B78B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Îmbunătățiri</w:t>
            </w:r>
            <w:proofErr w:type="spellEnd"/>
            <w:r w:rsidRPr="001B78B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B78B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Funciare</w:t>
            </w:r>
            <w:proofErr w:type="spellEnd"/>
            <w:r w:rsidRPr="001B78B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.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right="8"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29.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Furnizorii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date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Furnizor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sunt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right="8"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IP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Pedologie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Agrochimie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Protecţia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Solurilor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„N.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Dimo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”;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right="8"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ÎS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Proiectări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Teritoriului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3) </w:t>
            </w:r>
            <w:proofErr w:type="spellStart"/>
            <w:proofErr w:type="gram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alte</w:t>
            </w:r>
            <w:proofErr w:type="spellEnd"/>
            <w:proofErr w:type="gram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entități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publice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autorizate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dreptul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efectua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investigaţii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pedologice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1B78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Agenția Națională de Îmbunătățiri Funciare.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Pct.2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Pct.26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Pct.28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Pct.29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o-RO"/>
              </w:rPr>
              <w:lastRenderedPageBreak/>
              <w:t>Hotărârea Guvernului nr. 750/2020</w:t>
            </w:r>
          </w:p>
        </w:tc>
      </w:tr>
      <w:tr w:rsidR="004F2299" w:rsidRPr="004F2299" w:rsidTr="00E92507">
        <w:tc>
          <w:tcPr>
            <w:tcW w:w="1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Hotărârea Guvernului nr. 750/2020</w:t>
            </w:r>
          </w:p>
          <w:p w:rsidR="004F2299" w:rsidRPr="004F2299" w:rsidRDefault="004F2299" w:rsidP="004F229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o-RO"/>
              </w:rPr>
            </w:pP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200" w:line="276" w:lineRule="auto"/>
              <w:ind w:left="218" w:right="204" w:firstLine="14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o-RO"/>
              </w:rPr>
            </w:pPr>
            <w:proofErr w:type="spellStart"/>
            <w:proofErr w:type="gram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lastRenderedPageBreak/>
              <w:t>în</w:t>
            </w:r>
            <w:proofErr w:type="spellEnd"/>
            <w:proofErr w:type="gram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temeiul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art. 20 din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Codul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funciar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nr. 828/1991 (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republicat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Monitorul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lastRenderedPageBreak/>
              <w:t>Oficial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Republicii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Moldova, 2001, nr. 107, art. 817), cu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modificările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ulterioare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Guvernul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HOTĂRĂŞTE:</w:t>
            </w:r>
          </w:p>
        </w:tc>
        <w:tc>
          <w:tcPr>
            <w:tcW w:w="40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1B78BE">
            <w:pPr>
              <w:spacing w:after="200" w:line="276" w:lineRule="auto"/>
              <w:ind w:left="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lastRenderedPageBreak/>
              <w:t xml:space="preserve">textul „În temeiul art. 20 din Codul funciar nr. 828/1991 (republicat în Monitorul Oficial al Republicii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lastRenderedPageBreak/>
              <w:t xml:space="preserve">Moldova, 2001, nr. 107, art. 817)”, se substituie cu textul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„În temeiul art. 12 alin.(2) din Codul funciar nr. 22/2024, (Monitorul Oficial al Republicii Moldova, 2024 nr. 93-95 art. 137)”.</w:t>
            </w:r>
          </w:p>
          <w:p w:rsidR="004F2299" w:rsidRPr="004F2299" w:rsidRDefault="004F2299" w:rsidP="004F229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o-RO"/>
              </w:rPr>
            </w:pPr>
          </w:p>
        </w:tc>
        <w:tc>
          <w:tcPr>
            <w:tcW w:w="376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 xml:space="preserve">„În temeiul art. 12 alin.(2) din Codul funciar nr. 22/2024, (Monitorul Oficial al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>Republicii Moldova, 2024 nr. 93-95 art. 137)”.</w:t>
            </w:r>
          </w:p>
          <w:p w:rsidR="004F2299" w:rsidRPr="004F2299" w:rsidRDefault="004F2299" w:rsidP="004F229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o-RO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>Hotărârea Guvernului nr. 750/2020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ind w:right="1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 xml:space="preserve">În Hotărârea Guvernului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nr.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835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2020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Pct.11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3770D" w:rsidRDefault="0023770D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3770D" w:rsidRPr="004F2299" w:rsidRDefault="0023770D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Pct.13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6C60" w:rsidRPr="004F2299" w:rsidRDefault="000C6C60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Pct.14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lastRenderedPageBreak/>
              <w:t>11</w:t>
            </w:r>
            <w:proofErr w:type="gram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.De</w:t>
            </w:r>
            <w:proofErr w:type="gram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ținătorul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Sistemului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informațional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„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Registrul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solurilor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Republicii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Moldova” (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continuare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– </w:t>
            </w:r>
            <w:r w:rsidRPr="004F2299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SI RSRM</w:t>
            </w:r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) care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formează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Registrul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solurilor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Republicii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Moldova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este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Agenția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Națională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Îmbunătățiri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Funciare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(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continuare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– </w:t>
            </w:r>
            <w:proofErr w:type="spellStart"/>
            <w:r w:rsidRPr="004F2299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deținător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), care,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baza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unui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contract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încheiat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posesorul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Registrului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și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conformitate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prevederile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prezentului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Regulament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asigură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administrarea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dezvoltarea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funcționarea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SI RSRM,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garantând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disponibilitatea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siguranța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și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securitatea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datelor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Registru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13.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Registratorii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registrator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sunt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entități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Pedologie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Agrochimie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Protecție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Nicolae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Dimo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”;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Întreprinderea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Stat 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Proiectări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Teritoriului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C6C60" w:rsidRPr="004F2299" w:rsidRDefault="000C6C60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14.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Furnizorii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date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furnizor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sunt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Pedologie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Agrochimie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Protecție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Nicolae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Dimo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”;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Întreprinderea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Stat 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Proiectări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Teritoriului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”;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left="186" w:right="2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lastRenderedPageBreak/>
              <w:t>La  punctul 11 textul „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Deținătorul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Sistemului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informațional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„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Registrul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solurilor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Republicii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Moldova” (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continuare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– </w:t>
            </w:r>
            <w:r w:rsidRPr="004F2299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SI RSRM</w:t>
            </w:r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) care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formează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Registrul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solurilor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Republicii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Moldova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este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Agenția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Națională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Îmbunătățiri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Funciare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(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continuare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– </w:t>
            </w:r>
            <w:proofErr w:type="spellStart"/>
            <w:r w:rsidRPr="004F2299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en-US"/>
              </w:rPr>
              <w:t>deținător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), care,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baza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unui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contract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încheiat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posesorul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Registrului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și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în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conformitate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prevederile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prezentului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Regulament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asigură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administrarea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dezvoltarea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funcționarea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SI RSRM,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garantând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disponibilitatea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siguranța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și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securitatea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datelor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Registru</w:t>
            </w:r>
            <w:proofErr w:type="spellEnd"/>
            <w:r w:rsidRPr="004F229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”,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se completează cu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>subpunctul 11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o-RO"/>
              </w:rPr>
              <w:t>1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) cu următorul cuprins:</w:t>
            </w: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„</w:t>
            </w:r>
            <w:r w:rsidRPr="004F2299">
              <w:rPr>
                <w:rFonts w:ascii="Times New Roman" w:hAnsi="Times New Roman"/>
                <w:b/>
                <w:sz w:val="28"/>
              </w:rPr>
              <w:t>11</w:t>
            </w:r>
            <w:r w:rsidRPr="004F2299">
              <w:rPr>
                <w:rFonts w:ascii="Times New Roman" w:hAnsi="Times New Roman"/>
                <w:b/>
                <w:sz w:val="28"/>
                <w:vertAlign w:val="superscript"/>
              </w:rPr>
              <w:t>1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) Regulile de gestionare și utilizare a datelor din Registru se elaborează și se aprobă de către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o-RO"/>
              </w:rPr>
              <w:t>deținător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.”;</w:t>
            </w: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punctul 13 se completează cu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subpunctul 3) cu următorul cuprins: „Agenția Națională de Îmbunătățiri Funciare”.</w:t>
            </w: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0C6C60" w:rsidRDefault="000C6C60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0C6C60" w:rsidRDefault="000C6C60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0C6C60" w:rsidRDefault="000C6C60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0C6C60" w:rsidRDefault="000C6C60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0C6C60" w:rsidRDefault="000C6C60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0C6C60" w:rsidRDefault="000C6C60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0C6C60" w:rsidRPr="004F2299" w:rsidRDefault="000C6C60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44" w:right="23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lastRenderedPageBreak/>
              <w:t>punctul 1</w:t>
            </w:r>
            <w:r w:rsidR="000C6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>4 se completează cu subpunctul 3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) cu următorul cuprins: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„Agenția Națională de Îmbunătățiri Funciare”.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11</w:t>
            </w:r>
            <w:proofErr w:type="gram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.De</w:t>
            </w:r>
            <w:proofErr w:type="gram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ținătorul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Sistemului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informațional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solurilor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Moldova”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 </w:t>
            </w:r>
            <w:r w:rsidRPr="004F22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SI RSRM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care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formează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solurilor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Agenția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Națională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Îmbunătățiri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 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deținător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), care,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baza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contract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încheiat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posesorul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conformitate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prevederile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Regulament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asigură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administrarea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dezvoltarea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funcționarea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SI RSRM,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garantând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disponibilitatea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siguranța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securitatea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datelor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F2299" w:rsidRPr="001B78BE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11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78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Regulile de gestionare și utilizare a datelor din Registru se elaborează și se aprobă de către</w:t>
            </w:r>
            <w:r w:rsidR="001B78BE" w:rsidRPr="001B78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deținător</w:t>
            </w:r>
            <w:r w:rsidRPr="001B78B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.”;</w:t>
            </w:r>
          </w:p>
          <w:p w:rsidR="004F2299" w:rsidRPr="001B78BE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F2299" w:rsidRPr="001B78BE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23770D" w:rsidRDefault="0023770D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78BE" w:rsidRDefault="001B78BE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770D" w:rsidRPr="004F2299" w:rsidRDefault="0023770D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13.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Registratorii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registrator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sunt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entități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Pedologie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Agrochimie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Protecție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Nicolae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Dimo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”;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Întreprinderea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Stat 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Proiectări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Teritoriului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”.</w:t>
            </w:r>
          </w:p>
          <w:p w:rsidR="004F2299" w:rsidRPr="004F2299" w:rsidRDefault="004F2299" w:rsidP="004F229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)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Agenția Națională de Îmbunătățiri Funciare.</w:t>
            </w:r>
          </w:p>
          <w:p w:rsid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0C6C60" w:rsidRPr="004F2299" w:rsidRDefault="000C6C60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14.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Furnizorii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date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continuare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furnizor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sunt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Pedologie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Agrochimie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Protecție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Solului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Nicolae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Dimo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”;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Întreprinderea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Stat 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Proiectări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Teritoriului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”;</w:t>
            </w:r>
          </w:p>
          <w:p w:rsidR="004F2299" w:rsidRPr="000C6C60" w:rsidRDefault="000C6C60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4F2299"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 Agenția Națională de Îmbunătățiri Funciare.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Pct.11</w:t>
            </w: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3770D" w:rsidRDefault="0023770D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3770D" w:rsidRPr="004F2299" w:rsidRDefault="0023770D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Pct.13</w:t>
            </w: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Default="004F2299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6C60" w:rsidRDefault="000C6C60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6C60" w:rsidRDefault="000C6C60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6C60" w:rsidRPr="004F2299" w:rsidRDefault="000C6C60" w:rsidP="004F2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Pct.14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 xml:space="preserve">În Hotărârea Guvernului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nr.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864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2020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Hotărârea Guvernului nr.</w:t>
            </w:r>
            <w:r w:rsidRPr="00237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864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/</w:t>
            </w:r>
            <w:r w:rsidRPr="002377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2020</w:t>
            </w: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23770D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Pct.2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Pct.4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Pct.5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Pct.6 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temeiul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art. 8 din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Codul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828/1991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2001, nr. 107, art. 817),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conformitate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acțiuni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2020-2023,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aprobat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Hotărârea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636/2019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2019, nr. 378-379, art. 976),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HOTĂRĂŞTE:”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2.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Dezvoltării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comun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autoritățile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instituțiile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publice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responsabile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implementarea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Programului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întreprinde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măsurile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necesare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punerea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aplicare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prevederilor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acțiuni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C6C60" w:rsidRPr="004F2299" w:rsidRDefault="000C6C60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Coordonarea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realizării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acţiuni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pun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sarcina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Dezvoltării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Autoritățile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instituțiile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publice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responsabile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implementarea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Programului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semestrial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Dezvoltării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Mediului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raportul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gradul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atingere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indicatorilor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stabiliți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acţiuni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Dezvoltării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anual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la data de 1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februarie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raportul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realizarea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acțiuni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Controlul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asupra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executării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prezentei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hotărâri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sarcina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Dezvoltării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0C6C60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C6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>În Hotărârea Guvernului nr.</w:t>
            </w:r>
            <w:r w:rsidRPr="000C6C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C6C6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864/2020 textul </w:t>
            </w:r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„</w:t>
            </w:r>
            <w:proofErr w:type="spellStart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În</w:t>
            </w:r>
            <w:proofErr w:type="spellEnd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temeiul</w:t>
            </w:r>
            <w:proofErr w:type="spellEnd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 xml:space="preserve"> art. 8 din </w:t>
            </w:r>
            <w:proofErr w:type="spellStart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Codul</w:t>
            </w:r>
            <w:proofErr w:type="spellEnd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funciar</w:t>
            </w:r>
            <w:proofErr w:type="spellEnd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 xml:space="preserve"> nr. 828/1991 (</w:t>
            </w:r>
            <w:proofErr w:type="spellStart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republicat</w:t>
            </w:r>
            <w:proofErr w:type="spellEnd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în</w:t>
            </w:r>
            <w:proofErr w:type="spellEnd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Monitorul</w:t>
            </w:r>
            <w:proofErr w:type="spellEnd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Oficial</w:t>
            </w:r>
            <w:proofErr w:type="spellEnd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 xml:space="preserve"> al </w:t>
            </w:r>
            <w:proofErr w:type="spellStart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Republicii</w:t>
            </w:r>
            <w:proofErr w:type="spellEnd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 xml:space="preserve"> Moldova, 2001, nr. 107, art. 817)”, se v-a </w:t>
            </w:r>
            <w:proofErr w:type="spellStart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substitui</w:t>
            </w:r>
            <w:proofErr w:type="spellEnd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 xml:space="preserve"> cu </w:t>
            </w:r>
            <w:proofErr w:type="spellStart"/>
            <w:r w:rsidRPr="000C6C60">
              <w:rPr>
                <w:rFonts w:ascii="Times New Roman" w:hAnsi="Times New Roman" w:cs="Times New Roman"/>
                <w:bCs/>
                <w:sz w:val="28"/>
                <w:szCs w:val="28"/>
                <w:lang w:val="en-US" w:eastAsia="ro-RO"/>
              </w:rPr>
              <w:t>textul</w:t>
            </w:r>
            <w:proofErr w:type="spellEnd"/>
            <w:r w:rsidRPr="000C6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„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În temeiul art. 5 lit. a) din Codul funciar nr. 22/2024, (Publicat : 07-03-2024 în Monitorul Oficial Nr. 93-95 art. 137)”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La pct.2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 din Hotărârea Guvernului nr.</w:t>
            </w:r>
            <w:r w:rsidRPr="004F2299">
              <w:rPr>
                <w:sz w:val="28"/>
                <w:szCs w:val="28"/>
                <w:lang w:val="en-US"/>
              </w:rPr>
              <w:t xml:space="preserve"> 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864/2020 textul 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Dezvoltării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”, se v-a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substitui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textul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„Ministerul Agriculturii și Industriei Alimentare”.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6C60" w:rsidRPr="004F2299" w:rsidRDefault="000C6C60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La pct.4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 din Hotărârea Guvernului nr.</w:t>
            </w:r>
            <w:r w:rsidRPr="004F2299">
              <w:rPr>
                <w:sz w:val="28"/>
                <w:szCs w:val="28"/>
                <w:lang w:val="en-US"/>
              </w:rPr>
              <w:t xml:space="preserve"> 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864/2020 textul 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Dezvoltării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”, se v-a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substitui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textul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„Ministerul Agriculturii și Industriei Alimentare”.</w:t>
            </w:r>
          </w:p>
          <w:p w:rsid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6C60" w:rsidRPr="004F2299" w:rsidRDefault="000C6C60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La pct.5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 din Hotărârea Guvernului nr.</w:t>
            </w:r>
            <w:r w:rsidRPr="004F2299">
              <w:rPr>
                <w:sz w:val="28"/>
                <w:szCs w:val="28"/>
                <w:lang w:val="en-US"/>
              </w:rPr>
              <w:t xml:space="preserve"> 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864/2020 textul 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Dezvoltării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”, se v-a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substitui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textul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„Ministerul Agriculturii și Industriei Alimentare”.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La pct.6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 din Hotărârea Guvernului nr.</w:t>
            </w:r>
            <w:r w:rsidRPr="004F2299">
              <w:rPr>
                <w:sz w:val="28"/>
                <w:szCs w:val="28"/>
                <w:lang w:val="en-US"/>
              </w:rPr>
              <w:t xml:space="preserve"> 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864/2020 textul 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Dezvoltării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”, se v-a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substitui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textul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„Ministerul Agriculturii și Industriei Alimentare”.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La pct.7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 din Hotărârea Guvernului nr.</w:t>
            </w:r>
            <w:r w:rsidRPr="004F2299">
              <w:rPr>
                <w:sz w:val="28"/>
                <w:szCs w:val="28"/>
                <w:lang w:val="en-US"/>
              </w:rPr>
              <w:t xml:space="preserve"> 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864/2020 textul 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Dezvoltării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”, se v-a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substitui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textul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„Ministerul Agriculturii și Industriei Alimentare”.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„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În temeiul art. 5 lit. a) din Codul funciar nr. 22/2024, (Publicat : 07-03-2024 în Monitorul Oficial Nr. 93-95 art. 137),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conformitate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acțiuni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2020-2023,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aprobat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Hotărârea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636/2019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2019, nr. 378-379, art. 976),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HOTĂRĂŞTE:”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2.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Ministerul Agriculturii și Industriei Alimentare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comun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autoritățile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instituțiile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publice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responsabile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implementarea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Programului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întreprinde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măsurile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necesare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punerea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aplicare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prevederilor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acțiuni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Coordonarea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realizării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acţiuni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pun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sarcina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Ministerul Agriculturii și Industriei Alimentare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C6C60" w:rsidRPr="004F2299" w:rsidRDefault="000C6C60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Autoritățile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instituțiile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publice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responsabile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implementarea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Programului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semestrial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Ministerul Agriculturii și Industriei Alimentare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raportul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gradul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atingere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proofErr w:type="gram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indicatorilor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stabiliți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acţiuni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C6C60" w:rsidRPr="004F2299" w:rsidRDefault="000C6C60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Ministerul Agriculturii și Industriei Alimentare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anual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la data de 1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februarie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raportul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realizarea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Planului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acțiuni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C6C60" w:rsidRPr="004F2299" w:rsidRDefault="000C6C60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Controlul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asupra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executării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prezentei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hotărâri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pune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sarcina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Ministerul Agriculturii și Industriei Alimentare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Hotărârea Guvernului nr.864/2020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0C6C60" w:rsidRDefault="000C6C60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0C6C60" w:rsidRPr="004F2299" w:rsidRDefault="000C6C60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Pct.2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Pct.4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Pct.5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Pct.6 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Pct.7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>Pct.38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2299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  <w:r w:rsidRPr="004F2299">
              <w:rPr>
                <w:rFonts w:ascii="Times New Roman" w:hAnsi="Times New Roman" w:cs="Times New Roman"/>
                <w:sz w:val="28"/>
                <w:szCs w:val="28"/>
              </w:rPr>
              <w:t xml:space="preserve">Autoritățile administrației publice centrale </w:t>
            </w:r>
            <w:r w:rsidRPr="004F22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responsabile de implementarea politicilor în domeniu vor asigura gestionarea riscurilor proprii privind realizarea prezentului Program și a planurilor de implementare a acestuia. Acestea vor informa Ministerul Agriculturii, Dezvoltării Regionale și Mediului despre riscurile care pot crea impedimente în atingerea obiectivelor stabilite. </w:t>
            </w:r>
          </w:p>
          <w:p w:rsidR="004F2299" w:rsidRPr="004F2299" w:rsidRDefault="004F2299" w:rsidP="004F2299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8"/>
                <w:szCs w:val="28"/>
                <w:shd w:val="clear" w:color="auto" w:fill="FFFFFF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0" w:line="240" w:lineRule="auto"/>
              <w:ind w:left="239" w:right="44" w:firstLine="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La pct. 38</w:t>
            </w:r>
          </w:p>
          <w:p w:rsidR="004F2299" w:rsidRPr="004F2299" w:rsidRDefault="004F2299" w:rsidP="000C6C60">
            <w:pPr>
              <w:spacing w:after="0" w:line="240" w:lineRule="auto"/>
              <w:ind w:left="239" w:right="186" w:firstLine="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sintagma „Ministerul Agriculturii, Dezvoltării Regionale și Mediului”, se substituie cu sintagma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„Ministerul Agriculturii și Industriei Alimentare”.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2299">
              <w:rPr>
                <w:rFonts w:ascii="Times New Roman" w:hAnsi="Times New Roman" w:cs="Times New Roman"/>
                <w:sz w:val="28"/>
                <w:szCs w:val="28"/>
              </w:rPr>
              <w:t xml:space="preserve">Autoritățile administrației publice centrale </w:t>
            </w:r>
            <w:r w:rsidRPr="004F22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responsabile de implementarea politicilor în domeniu vor asigura gestionarea riscurilor proprii privind realizarea prezentului Program și a planurilor de implementare a acestuia. Acestea vor informa </w:t>
            </w:r>
            <w:r w:rsidRPr="000C6C6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Ministerul Agriculturii și Industriei Alimentare, </w:t>
            </w:r>
            <w:r w:rsidRPr="004F22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despre riscurile care pot crea impedimente în atingerea obiectivelor stabilite. 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Pct.38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Pct.39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39.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nstituțiile care elaborează, implementează și sunt implicate în activități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de îmbunătățiri funciare, protecție, conservare și sporire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fertilităţii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solurilor sunt: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F2299" w:rsidRPr="004F2299" w:rsidRDefault="004F2299" w:rsidP="004F22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Ministerul Agriculturii, Dezvoltării Regionale și Mediului – responsabil de elaborarea politicilor în domeniul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agriculturii, dezvoltării regionale și mediului;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0" w:line="240" w:lineRule="auto"/>
              <w:ind w:left="239" w:right="44" w:firstLine="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>La pct. 39 alin.1)</w:t>
            </w:r>
          </w:p>
          <w:p w:rsidR="004F2299" w:rsidRPr="004F2299" w:rsidRDefault="004F2299" w:rsidP="000C6C60">
            <w:pPr>
              <w:spacing w:after="0" w:line="240" w:lineRule="auto"/>
              <w:ind w:left="239" w:right="186" w:firstLine="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sintagma „Ministerul Agriculturii, Dezvoltării Regionale și Mediului”, se substituie cu sintagma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„Ministerul Agriculturii și Industriei Alimentare”.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nstituțiile care elaborează, implementează și sunt implicate în activități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de îmbunătățiri funciare, protecție, conservare și sporire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fertilităţii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solurilor sunt: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F2299" w:rsidRPr="004F2299" w:rsidRDefault="000C6C60" w:rsidP="004F22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4F2299"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Ministerul Agriculturii și Industriei Alimentare</w:t>
            </w:r>
            <w:r w:rsidR="004F2299"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responsabil de elaborarea politicilor în domeniul agriculturii, </w:t>
            </w:r>
            <w:r w:rsidR="004F2299"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dezvoltării regionale și mediului;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Pct.39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>Pct.40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40.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Instituțiile din subordinea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>Ministerului Agriculturii, Dezvoltării Regionale și Mediului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ce asigură implementarea politicilor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în domeniul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îmbunătățirilor funciare, protecției, conservării și sporirii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fertilităţii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solurilor.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0" w:line="240" w:lineRule="auto"/>
              <w:ind w:left="239" w:right="44" w:firstLine="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La pct. 40</w:t>
            </w:r>
          </w:p>
          <w:p w:rsidR="004F2299" w:rsidRPr="004F2299" w:rsidRDefault="004F2299" w:rsidP="000C6C60">
            <w:pPr>
              <w:spacing w:after="0" w:line="240" w:lineRule="auto"/>
              <w:ind w:left="239" w:right="186" w:firstLine="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sintagma „Ministerul Agriculturii, Dezvoltării Regionale și Mediului”, se substituie cu sintagma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„Ministerul Agriculturii și Industriei Alimentare”.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Instituțiile din subordinea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Ministerului Agriculturii și Industriei Alimentare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ce asigură implementarea politicilor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în domeniul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îmbunătățirilor funciare, protecției, conservării și sporirii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fertilităţii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solurilor.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Pct.40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Pct.44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44. 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Activitățile de monitorizare și evaluare privind implementarea prezentului Program și a planurilor de acțiuni vor fi realizate după cum urmează: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raportul privind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analiza realizării obiectivelor, măsurilor stabilite și gradul de atingere a indicatorilor de monitorizare stabiliți în Planul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acţiuni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privind implementarea Programului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va elabora anual, la data de 1 februarie, de către Ministerul Agriculturii, Dezvoltării Regionale și Mediului,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în baza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informațiilor și datelor furnizate de către autoritățile/instituțiile publice și partenerii de implementare, societatea civilă etc.,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>și se va prezenta Guvernului;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 monitorizarea și coordonarea realizării prezentului Program la nivel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>naţional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va efectua de către Ministerul Agriculturii, Dezvoltării Regionale și Mediului în comun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>instituţiile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responsabile de implementarea proiectelor lucrărilor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>îmbunătăţiri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funciare,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C6C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protecție, conservare și sporire a </w:t>
            </w:r>
            <w:proofErr w:type="spellStart"/>
            <w:r w:rsidRPr="000C6C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fertilităţii</w:t>
            </w:r>
            <w:proofErr w:type="spellEnd"/>
            <w:r w:rsidRPr="000C6C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solurilor</w:t>
            </w:r>
            <w:r w:rsidRPr="000C6C6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0" w:line="240" w:lineRule="auto"/>
              <w:ind w:left="239" w:right="44" w:firstLine="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>La pct. 44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 alin.1) și alin.5)</w:t>
            </w:r>
          </w:p>
          <w:p w:rsidR="004F2299" w:rsidRPr="004F2299" w:rsidRDefault="004F2299" w:rsidP="000C6C60">
            <w:pPr>
              <w:spacing w:after="0" w:line="240" w:lineRule="auto"/>
              <w:ind w:left="239" w:right="186" w:firstLine="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sintagma „Ministerul Agriculturii, Dezvoltării Regionale și Mediului”, se substituie cu sintagma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„Ministerul Agriculturii și Industriei Alimentare”.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Activitățile de monitorizare și evaluare privind implementarea prezentului Program și a planurilor de acțiuni vor fi realizate după cum urmează: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raportul privind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analiza realizării obiectivelor, măsurilor stabilite și gradul de atingere a indicatorilor de monitorizare stabiliți în Planul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acţiuni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privind implementarea Programului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va elabora anual, la data de 1 februarie, de către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Ministerul Agriculturii și Industriei Alimentare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în baza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informațiilor și datelor furnizate de către autoritățile/instituțiile publice și partenerii de implementare, societatea civilă etc.,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>și se va prezenta Guvernului;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F2299" w:rsidRPr="000C6C60" w:rsidRDefault="004F2299" w:rsidP="004F229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 monitorizarea și coordonarea realizării prezentului Program la nivel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>naţional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va efectua de către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Ministerul Agriculturii și Industriei Alimentare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în comun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>instituţiile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responsabile de implementarea proiectelor lucrărilor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>îmbunătăţiri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funciare,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C6C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protecție, conservare și sporire a </w:t>
            </w:r>
            <w:proofErr w:type="spellStart"/>
            <w:r w:rsidRPr="000C6C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fertilităţii</w:t>
            </w:r>
            <w:proofErr w:type="spellEnd"/>
            <w:r w:rsidRPr="000C6C6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solurilor</w:t>
            </w:r>
            <w:r w:rsidRPr="000C6C6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>Pct.44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 xml:space="preserve">În Hotărârea Guvernului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nr.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985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2020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985/2020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Pct.46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temeiul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art. 8 din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Codul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828/1991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2001, nr. 107, art. 817),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și al art. 6 lit. h) </w:t>
            </w:r>
            <w:proofErr w:type="gram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</w:t>
            </w:r>
            <w:proofErr w:type="gram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136/2017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2017, nr.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252, art. 412),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HOTĂRĂŞTE:”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6) </w:t>
            </w:r>
            <w:proofErr w:type="spellStart"/>
            <w:proofErr w:type="gram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deţinerea</w:t>
            </w:r>
            <w:proofErr w:type="spellEnd"/>
            <w:proofErr w:type="gram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proiectului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organizare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teritoriului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elaborat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aprobat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conform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prevederilor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art. 13 din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Codul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828/1991.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0" w:line="240" w:lineRule="auto"/>
              <w:ind w:left="239" w:right="186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lastRenderedPageBreak/>
              <w:t xml:space="preserve"> în clauza de adoptare textul „În temeiul art. 8 din Codul funciar nr. 828/1991 (republicat în Monitorul Oficial al Republicii Moldova, 2001, nr. 107, art. 817) </w:t>
            </w:r>
            <w:r w:rsidRPr="004F22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o-RO"/>
              </w:rPr>
              <w:t>cu modificările ulterioare”,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se substituie cu textul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„În temeiul art.5 lit. a) , art.63 alin.(5) din Codul funciar nr. 22/2024,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>(Monitorul Oficial al Republicii Moldova, 2024 nr. 93-95 art. 137)”;</w:t>
            </w:r>
          </w:p>
          <w:p w:rsidR="004F2299" w:rsidRPr="004F2299" w:rsidRDefault="004F2299" w:rsidP="004F2299">
            <w:pPr>
              <w:spacing w:after="0" w:line="240" w:lineRule="auto"/>
              <w:ind w:left="239" w:right="186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239" w:right="186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</w:p>
          <w:p w:rsidR="004F2299" w:rsidRPr="004F2299" w:rsidRDefault="004F2299" w:rsidP="004F2299">
            <w:pPr>
              <w:spacing w:after="0" w:line="240" w:lineRule="auto"/>
              <w:ind w:left="239" w:right="186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în Regulament:</w:t>
            </w:r>
          </w:p>
          <w:p w:rsidR="004F2299" w:rsidRPr="004F2299" w:rsidRDefault="004F2299" w:rsidP="004F2299">
            <w:pPr>
              <w:spacing w:after="0" w:line="240" w:lineRule="auto"/>
              <w:ind w:left="239" w:right="186"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o-RO"/>
              </w:rPr>
              <w:t>punctul 46 subpunctul 6) din Regulament va avea următorul cuprins: „</w:t>
            </w:r>
            <w:r w:rsidRPr="004F2299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o-RO"/>
              </w:rPr>
              <w:t xml:space="preserve">deținerea proiectului de organizare a teritoriului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o-RO"/>
              </w:rPr>
              <w:t>elaborat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o-RO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o-RO"/>
              </w:rPr>
              <w:t>aprobat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o-RO"/>
              </w:rPr>
              <w:t xml:space="preserve"> conform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o-RO"/>
              </w:rPr>
              <w:t>prevederilor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o-RO"/>
              </w:rPr>
              <w:t xml:space="preserve"> art. 13 din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o-RO"/>
              </w:rPr>
              <w:t>Codul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o-RO"/>
              </w:rPr>
              <w:t>funciar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o-RO"/>
              </w:rPr>
              <w:t xml:space="preserve"> nr. 22/2024</w:t>
            </w:r>
            <w:r w:rsidRPr="004F229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 w:eastAsia="ro-RO"/>
              </w:rPr>
              <w:t>”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„</w:t>
            </w:r>
            <w:r w:rsidRPr="000C6C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În temeiul art.5 lit. a) , art.63 alin.(5) din Codul funciar nr. 22/2024, (Publicat : 07-03-2024 în Monitorul Oficial Nr. 93-95 art. 137),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o-RO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și al art. 6 lit. h) </w:t>
            </w:r>
            <w:proofErr w:type="gram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</w:t>
            </w:r>
            <w:proofErr w:type="gram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136/2017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2017, nr. 252, art. 412),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HOTĂRĂŞTE:”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6)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„deținerea proiectului de organizare a teritoriului </w:t>
            </w:r>
            <w:proofErr w:type="spellStart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elaborat</w:t>
            </w:r>
            <w:proofErr w:type="spellEnd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aprobat</w:t>
            </w:r>
            <w:proofErr w:type="spellEnd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conform </w:t>
            </w:r>
            <w:proofErr w:type="spellStart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prevederilor</w:t>
            </w:r>
            <w:proofErr w:type="spellEnd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art. 13 din </w:t>
            </w:r>
            <w:proofErr w:type="spellStart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Codul</w:t>
            </w:r>
            <w:proofErr w:type="spellEnd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funciar</w:t>
            </w:r>
            <w:proofErr w:type="spellEnd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nr. 22/2024.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ru-RU"/>
              </w:rPr>
              <w:t>”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985/2020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Pct.46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 xml:space="preserve">În Hotărârea Guvernului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nr.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750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2020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o-RO"/>
              </w:rPr>
              <w:t>750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/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o-RO"/>
              </w:rPr>
              <w:t>2020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temeiul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art. 20 din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Codul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828/1991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2001, nr. 107, art. 817),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HOTĂRĂŞTE: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o-RO"/>
              </w:rPr>
              <w:t>În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 xml:space="preserve"> Hotărârea Guvernului nr.</w:t>
            </w:r>
            <w:r w:rsidRPr="004F2299">
              <w:rPr>
                <w:b/>
                <w:bCs/>
                <w:sz w:val="28"/>
                <w:szCs w:val="28"/>
                <w:lang w:val="en-US" w:eastAsia="ro-RO"/>
              </w:rPr>
              <w:t>750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>/</w:t>
            </w:r>
            <w:r w:rsidRPr="004F2299">
              <w:rPr>
                <w:b/>
                <w:bCs/>
                <w:sz w:val="28"/>
                <w:szCs w:val="28"/>
                <w:lang w:val="en-US" w:eastAsia="ro-RO"/>
              </w:rPr>
              <w:t>2020</w:t>
            </w:r>
            <w:r w:rsidRPr="004F2299">
              <w:rPr>
                <w:b/>
                <w:bCs/>
                <w:sz w:val="28"/>
                <w:szCs w:val="28"/>
                <w:lang w:eastAsia="ro-RO"/>
              </w:rPr>
              <w:t>, textul 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temeiul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art. 20 din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Codul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828/1991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2001, nr. 107, art. 817)”, se v-a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substitui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textul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„În temeiul art. 12 din Codul funciar nr. 22/2024, (Publicat : 07-03-2024 în Monitorul Oficial Nr. 93-95 art. 137)”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temeiul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art. 12 din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Codul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22/2024,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Publicat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: 07-03-2024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93-95 art. 137)”,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HOTĂRĂŞTE: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750/2020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În Hotărârea Guvernului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nr.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82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2024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o-RO"/>
              </w:rPr>
              <w:t>82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/2024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temeiul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art.8 din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Codul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nr.828/1991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2001, nr. 107, art. 817),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HOTĂRĂŞTE:”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4F22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o-RO"/>
              </w:rPr>
              <w:lastRenderedPageBreak/>
              <w:t xml:space="preserve"> În Hotărârea Guvernului nr.</w:t>
            </w:r>
            <w:r w:rsidRPr="004F22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o-RO"/>
              </w:rPr>
              <w:t>82</w:t>
            </w:r>
            <w:r w:rsidRPr="004F22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/2024 </w:t>
            </w:r>
            <w:r w:rsidRPr="004F2299">
              <w:rPr>
                <w:rFonts w:ascii="Times New Roman" w:hAnsi="Times New Roman" w:cs="Times New Roman"/>
                <w:bCs/>
                <w:sz w:val="28"/>
                <w:szCs w:val="28"/>
                <w:lang w:eastAsia="ro-RO"/>
              </w:rPr>
              <w:t>textul</w:t>
            </w:r>
            <w:r w:rsidRPr="004F229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temeiul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art.8 din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Codul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nr.828/1991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republicat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Oficial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2001, nr. 107, art. 817)”, se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substitui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textul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„În temeiul art.5 lit. a) , art.63 alin.(5) din Codul funciar nr. 22/2024, (Publicat : 07-03-2024 în Monitorul Oficial Nr. 93-95 art. 137)”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„În temeiul art.5 lit. a) , art.63 alin.(5) din Codul funciar nr. 22/2024, (Publicat : 07-03-2024 în Monitorul 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Oficial Nr. 93-95 art. 137)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,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HOTĂRĂŞTE:”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82/2024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 xml:space="preserve">În Hotărârea Guvernului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nr.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940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2023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o-RO"/>
              </w:rPr>
              <w:t>940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/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o-RO"/>
              </w:rPr>
              <w:t>2023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„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temeiul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art.19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alin</w:t>
            </w:r>
            <w:proofErr w:type="spellEnd"/>
            <w:proofErr w:type="gram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.(</w:t>
            </w:r>
            <w:proofErr w:type="gram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3) din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nr.1247/1992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reglementarea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stat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regimului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proprietății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cadastrului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stat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monitoringul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funciar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Monitorul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Parlamentului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Republicii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Moldova, 1992, nr. 12, art. 366),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HOTĂRĂȘTE:”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Anexa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nr.2:</w:t>
            </w:r>
          </w:p>
          <w:p w:rsidR="004F2299" w:rsidRPr="004F2299" w:rsidRDefault="004F2299" w:rsidP="004F229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ind w:left="59" w:hanging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FIȘA CADASTRALĂ CENTRALIZATOARE </w:t>
            </w:r>
          </w:p>
          <w:p w:rsidR="004F2299" w:rsidRPr="004F2299" w:rsidRDefault="004F2299" w:rsidP="004F229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ind w:left="59" w:hanging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FIȘA CADASTRALĂ CENTRALIZATOARE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terenuri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amenajate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infrastructură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irigare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  <w:p w:rsidR="004F2299" w:rsidRPr="004F2299" w:rsidRDefault="004F2299" w:rsidP="004F229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240" w:line="240" w:lineRule="auto"/>
              <w:ind w:left="59" w:hanging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FIȘA CADASTRALĂ CENTRALIZATOARE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terenuri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amenajate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infrastructură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desecare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Anexa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nr.4 : 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Informație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suprafeţelor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categoriilor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terenuri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hotarele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unităţilor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administrativ-teritoriale</w:t>
            </w:r>
            <w:proofErr w:type="spellEnd"/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0" w:line="240" w:lineRule="auto"/>
              <w:ind w:left="181" w:right="18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În Hotărârea Guvernului nr.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940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2023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F22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textul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„În temeiul art. 19 alin. (3) din Legea nr.1247/1992 privind reglementarea de stat a regimului proprietății funciare, cadastrului funciar de stat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monitoringul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funciar (Monitorul Parlamentului Republicii Moldova, 1992, nr. 12, art. 366), cu modificările ulterioare, Guvernul HOTĂRĂȘTE:”, se substituie cu textul </w:t>
            </w:r>
            <w:r w:rsidRPr="004F229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o-RO"/>
              </w:rPr>
              <w:t xml:space="preserve">„În temeiul art.11, alin (6) din Codul Funciar nr. 22/2024 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o-RO"/>
              </w:rPr>
              <w:t>(Monitorul Oficial al Republicii Moldova, 2024 nr. 93-95 art. 137)</w:t>
            </w:r>
            <w:r w:rsidRPr="004F229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o-RO"/>
              </w:rPr>
              <w:t>”.</w:t>
            </w: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186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186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</w:pPr>
            <w:r w:rsidRPr="004F22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 xml:space="preserve">în Anexa nr. 1 din Regulament, coloanele 6-7, capitolul I, 7-8, capitolul II și capitolul III, textul </w:t>
            </w:r>
            <w:r w:rsidRPr="004F22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lastRenderedPageBreak/>
              <w:t>„Categoria de folosință” se substituie cu textul „</w:t>
            </w:r>
            <w:r w:rsidRPr="004F229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Modul de folosință</w:t>
            </w:r>
            <w:r w:rsidRPr="004F22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o-RO"/>
              </w:rPr>
              <w:t>”.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Anexa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nr.2:</w:t>
            </w:r>
          </w:p>
          <w:p w:rsidR="004F2299" w:rsidRPr="000C6C60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*Notă* Având în vedere dimensiunea considerabilă a tabelelor din anexe și formatul acestora de tip Excel, nu putem introduce aceste documente în prezentul tabel comparativ, toate fișele sunt prezentate în proiect.</w:t>
            </w: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4F2299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299" w:rsidRPr="000C6C60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Se dă în redacție nouă.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0C6C60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„În temeiul art.5 lit. a) , art.63 alin.(5) din Codul funciar nr. 22/2024, (Publicat : 07-03-2024 în Monitorul Oficial Nr. 93-95 art. 137)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cu </w:t>
            </w:r>
            <w:proofErr w:type="spellStart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ulterioare</w:t>
            </w:r>
            <w:proofErr w:type="spellEnd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Guvernul</w:t>
            </w:r>
            <w:proofErr w:type="spellEnd"/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HOTĂRĂȘTE:”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0C6C60" w:rsidRDefault="004F2299" w:rsidP="004F2299">
            <w:pPr>
              <w:spacing w:after="200" w:line="240" w:lineRule="auto"/>
              <w:ind w:left="181" w:right="1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*Notă* Având în vedere dimensiunea considerabilă a tabelelor din anexe și </w:t>
            </w:r>
            <w:r w:rsidRPr="000C6C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formatul acestora de tip Excel, nu putem introduce aceste documente în prezentul tabel comparativ, toate fișele sunt prezentate în proiect.</w:t>
            </w:r>
          </w:p>
          <w:p w:rsidR="000C6C60" w:rsidRDefault="000C6C60" w:rsidP="004F2299">
            <w:pPr>
              <w:shd w:val="clear" w:color="auto" w:fill="FFFFFF"/>
              <w:spacing w:after="20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Anexa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nr.2:</w:t>
            </w:r>
          </w:p>
          <w:p w:rsidR="004F2299" w:rsidRPr="004F2299" w:rsidRDefault="004F2299" w:rsidP="004F229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ind w:left="59" w:hanging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FIȘA CADASTRALĂ CENTRALIZATOARE </w:t>
            </w:r>
          </w:p>
          <w:p w:rsidR="004F2299" w:rsidRPr="004F2299" w:rsidRDefault="004F2299" w:rsidP="004F229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ind w:left="59" w:hanging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FIȘA CADASTRALĂ CENTRALIZATOARE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terenuri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amenajate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infrastructură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irigare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  <w:p w:rsidR="004F2299" w:rsidRPr="004F2299" w:rsidRDefault="004F2299" w:rsidP="004F229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240" w:line="240" w:lineRule="auto"/>
              <w:ind w:left="59" w:hanging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FIȘA CADASTRALĂ CENTRALIZATOARE (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terenuri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amenajate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infrastructură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desecare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76" w:lineRule="auto"/>
              <w:ind w:left="59" w:hanging="1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shd w:val="clear" w:color="auto" w:fill="FFFFFF"/>
              <w:spacing w:after="200" w:line="276" w:lineRule="auto"/>
              <w:ind w:left="59" w:hanging="1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2299" w:rsidRPr="004F2299" w:rsidRDefault="004F2299" w:rsidP="004F229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ind w:left="59" w:hanging="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Anexa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nr.4 : </w:t>
            </w:r>
          </w:p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left="59" w:hanging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Informație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modificările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suprafeţelor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categoriilor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terenuri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hotarele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unităţilor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administrativ-teritoriale</w:t>
            </w:r>
            <w:proofErr w:type="spellEnd"/>
          </w:p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eastAsia="ru-RU"/>
              </w:rPr>
              <w:lastRenderedPageBreak/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 w:eastAsia="ru-RU"/>
              </w:rPr>
              <w:t>940/2023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 xml:space="preserve">În Hotărârea Guvernului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nr.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1428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2008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Hotărârea Guvernului nr.1428/2008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Hotărârea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1428/2008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aprobarea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Regulamentului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vânzarea-cumpărarea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locațiunea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arenda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terenurilor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aferente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200" w:line="240" w:lineRule="auto"/>
              <w:ind w:left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Hotărârea se abrogă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abrogat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MD" w:eastAsia="ru-RU"/>
              </w:rPr>
              <w:t>1428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>/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MD" w:eastAsia="ru-RU"/>
              </w:rPr>
              <w:t>2008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În Hotărârea Guvernului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nr.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1057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/2007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Hotărârea Guvernului nr.1057/2007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Hotărârea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1075/2007,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aprobarea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Regulamentului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consolidarea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terenurilor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agricole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200" w:line="240" w:lineRule="auto"/>
              <w:ind w:left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Hotărârea se abrogă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abrogat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MD" w:eastAsia="ru-RU"/>
              </w:rPr>
              <w:t>1057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>/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MD" w:eastAsia="ru-RU"/>
              </w:rPr>
              <w:t>2007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În Hotărârea Guvernului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nr.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72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/2004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Hotărârea Guvernului nr.72/2004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Hotărârea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72/2004,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implementarea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arenda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agricultură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200" w:line="240" w:lineRule="auto"/>
              <w:ind w:left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Hotărârea se abrogă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abrogat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MD" w:eastAsia="ru-RU"/>
              </w:rPr>
              <w:t>72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>/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MD" w:eastAsia="ru-RU"/>
              </w:rPr>
              <w:t>2004</w:t>
            </w:r>
          </w:p>
        </w:tc>
      </w:tr>
      <w:tr w:rsidR="004F2299" w:rsidRPr="004F2299" w:rsidTr="00E92507">
        <w:tc>
          <w:tcPr>
            <w:tcW w:w="152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pacing w:after="0" w:line="253" w:lineRule="atLeas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În Hotărârea Guvernului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nr. 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707</w:t>
            </w:r>
            <w:r w:rsidRPr="004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/1993</w:t>
            </w:r>
            <w:r w:rsidRPr="004F229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4F2299" w:rsidRPr="004F2299" w:rsidTr="00E92507">
        <w:trPr>
          <w:trHeight w:val="26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Hotărârea Guvernului nr.707/193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20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Hotărârea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Guvernului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nr. 707/1993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Despre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aprobarea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regulamentelor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terenurile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destinate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industriei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transportului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telecomunicațiilor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apărării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cu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destinații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speciale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clasarea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terenurilor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irigate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desecate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categoria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neirigate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și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trecerea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pierderi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sistemelor</w:t>
            </w:r>
            <w:proofErr w:type="spellEnd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ameliorare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299" w:rsidRPr="004F2299" w:rsidRDefault="004F2299" w:rsidP="004F2299">
            <w:pPr>
              <w:spacing w:after="200" w:line="240" w:lineRule="auto"/>
              <w:ind w:left="1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Hotărârea se abrogă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ind w:righ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abrogat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99" w:rsidRPr="004F2299" w:rsidRDefault="004F2299" w:rsidP="004F22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Hotărârea Guvernului nr.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MD" w:eastAsia="ru-RU"/>
              </w:rPr>
              <w:t>707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>/</w:t>
            </w:r>
            <w:r w:rsidRPr="004F229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ro-MD" w:eastAsia="ru-RU"/>
              </w:rPr>
              <w:t>1993</w:t>
            </w:r>
          </w:p>
        </w:tc>
      </w:tr>
    </w:tbl>
    <w:p w:rsidR="004F2299" w:rsidRPr="004F2299" w:rsidRDefault="004F2299" w:rsidP="004F2299">
      <w:pPr>
        <w:shd w:val="clear" w:color="auto" w:fill="FFFFFF" w:themeFill="background1"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2299" w:rsidRPr="004F2299" w:rsidRDefault="004F2299" w:rsidP="004F2299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5C64D6" w:rsidRDefault="005C64D6"/>
    <w:sectPr w:rsidR="005C64D6" w:rsidSect="00613E63">
      <w:pgSz w:w="16838" w:h="11906" w:orient="landscape"/>
      <w:pgMar w:top="709" w:right="82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631A3"/>
    <w:multiLevelType w:val="hybridMultilevel"/>
    <w:tmpl w:val="C86085F6"/>
    <w:lvl w:ilvl="0" w:tplc="04A48974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9"/>
    <w:rsid w:val="000C6C60"/>
    <w:rsid w:val="001B78BE"/>
    <w:rsid w:val="0023770D"/>
    <w:rsid w:val="004F2299"/>
    <w:rsid w:val="005C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AD87F-5159-4B21-BC0F-19E4A956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3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7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3469</Words>
  <Characters>20126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Necrutu</dc:creator>
  <cp:keywords/>
  <dc:description/>
  <cp:lastModifiedBy>Nicoleta Necrutu</cp:lastModifiedBy>
  <cp:revision>5</cp:revision>
  <cp:lastPrinted>2024-07-19T07:52:00Z</cp:lastPrinted>
  <dcterms:created xsi:type="dcterms:W3CDTF">2024-07-12T13:15:00Z</dcterms:created>
  <dcterms:modified xsi:type="dcterms:W3CDTF">2024-07-19T07:53:00Z</dcterms:modified>
</cp:coreProperties>
</file>