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FE3A" w14:textId="77777777" w:rsidR="003C442D" w:rsidRDefault="00346E3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NOTA DE FUNDAMENTARE</w:t>
      </w:r>
    </w:p>
    <w:p w14:paraId="185A8C94" w14:textId="49BB919F" w:rsidR="003C442D" w:rsidRDefault="00346E38" w:rsidP="00CD1A49">
      <w:pPr>
        <w:pBdr>
          <w:top w:val="none" w:sz="4" w:space="0" w:color="000000"/>
          <w:left w:val="none" w:sz="4" w:space="0" w:color="000000"/>
          <w:bottom w:val="none" w:sz="4" w:space="0" w:color="000000"/>
          <w:right w:val="none" w:sz="4" w:space="0" w:color="000000"/>
        </w:pBdr>
        <w:tabs>
          <w:tab w:val="left" w:pos="884"/>
          <w:tab w:val="left" w:pos="1196"/>
        </w:tabs>
        <w:ind w:right="282" w:firstLine="0"/>
        <w:jc w:val="center"/>
        <w:rPr>
          <w:sz w:val="24"/>
          <w:szCs w:val="24"/>
          <w:lang w:val="ro-RO"/>
        </w:rPr>
      </w:pPr>
      <w:r>
        <w:rPr>
          <w:b/>
          <w:sz w:val="24"/>
          <w:szCs w:val="24"/>
          <w:lang w:val="ro-RO"/>
        </w:rPr>
        <w:t xml:space="preserve">la proiectul </w:t>
      </w:r>
      <w:r w:rsidR="00CD1A49" w:rsidRPr="00CD1A49">
        <w:rPr>
          <w:rFonts w:eastAsiaTheme="minorEastAsia"/>
          <w:b/>
          <w:bCs/>
          <w:spacing w:val="-1"/>
          <w:sz w:val="24"/>
          <w:szCs w:val="24"/>
          <w:lang w:val="pt-PT" w:eastAsia="ro-MD"/>
        </w:rPr>
        <w:t>de Lege cu privire la modificarea Legii nr. 182/2019 privind calitatea apei potabile</w:t>
      </w:r>
    </w:p>
    <w:tbl>
      <w:tblPr>
        <w:tblStyle w:val="Tabelgril"/>
        <w:tblW w:w="0" w:type="auto"/>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82"/>
      </w:tblGrid>
      <w:tr w:rsidR="003C442D" w:rsidRPr="00513F7E" w14:paraId="11C6B7C0" w14:textId="77777777" w:rsidTr="00E853B9">
        <w:tc>
          <w:tcPr>
            <w:tcW w:w="978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CFC508"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1. Denumirea sau numele autorului și, după caz, a/al participanților la elaborarea proiectului actului normativ</w:t>
            </w:r>
          </w:p>
        </w:tc>
      </w:tr>
      <w:tr w:rsidR="003C442D" w:rsidRPr="00513F7E" w14:paraId="532EF2E6"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83ED30" w14:textId="1258CB8B" w:rsidR="003C442D" w:rsidRPr="00733DB2" w:rsidRDefault="00346E38">
            <w:pPr>
              <w:rPr>
                <w:rFonts w:ascii="Times New Roman" w:hAnsi="Times New Roman"/>
                <w:sz w:val="24"/>
                <w:szCs w:val="24"/>
                <w:lang w:val="ro-RO"/>
              </w:rPr>
            </w:pPr>
            <w:r>
              <w:rPr>
                <w:rFonts w:ascii="Times New Roman" w:hAnsi="Times New Roman"/>
                <w:sz w:val="24"/>
                <w:szCs w:val="24"/>
                <w:lang w:val="ro-RO"/>
              </w:rPr>
              <w:t xml:space="preserve"> </w:t>
            </w:r>
            <w:r w:rsidR="00D46A9F" w:rsidRPr="00733DB2">
              <w:rPr>
                <w:rFonts w:ascii="Times New Roman" w:eastAsiaTheme="minorEastAsia" w:hAnsi="Times New Roman"/>
                <w:sz w:val="24"/>
                <w:szCs w:val="24"/>
                <w:lang w:val="ro-RO" w:eastAsia="ro-MD"/>
              </w:rPr>
              <w:t>Proiectul</w:t>
            </w:r>
            <w:r w:rsidR="00D46A9F" w:rsidRPr="00733DB2">
              <w:rPr>
                <w:rFonts w:ascii="Times New Roman" w:eastAsiaTheme="minorEastAsia" w:hAnsi="Times New Roman"/>
                <w:spacing w:val="54"/>
                <w:sz w:val="24"/>
                <w:szCs w:val="24"/>
                <w:lang w:val="ro-RO" w:eastAsia="ro-MD"/>
              </w:rPr>
              <w:t xml:space="preserve"> </w:t>
            </w:r>
            <w:r w:rsidR="00CD1A49" w:rsidRPr="00CD1A49">
              <w:rPr>
                <w:rFonts w:ascii="Times New Roman" w:eastAsiaTheme="minorEastAsia" w:hAnsi="Times New Roman"/>
                <w:sz w:val="24"/>
                <w:szCs w:val="24"/>
                <w:lang w:val="ro-RO" w:eastAsia="ro-MD"/>
              </w:rPr>
              <w:t>de Lege cu privire la modificarea Legii nr. 182/2019 privind calitatea apei potabile</w:t>
            </w:r>
            <w:r w:rsidR="00D46A9F" w:rsidRPr="00733DB2">
              <w:rPr>
                <w:rFonts w:ascii="Times New Roman" w:eastAsiaTheme="minorEastAsia" w:hAnsi="Times New Roman"/>
                <w:color w:val="000000"/>
                <w:sz w:val="24"/>
                <w:szCs w:val="24"/>
                <w:lang w:val="ro-RO" w:eastAsia="ro-MD"/>
              </w:rPr>
              <w:t xml:space="preserve"> </w:t>
            </w:r>
            <w:r w:rsidR="00D46A9F" w:rsidRPr="00733DB2">
              <w:rPr>
                <w:rFonts w:ascii="Times New Roman" w:eastAsiaTheme="minorEastAsia" w:hAnsi="Times New Roman"/>
                <w:sz w:val="24"/>
                <w:szCs w:val="24"/>
                <w:lang w:val="ro-RO" w:eastAsia="ro-MD"/>
              </w:rPr>
              <w:t xml:space="preserve"> </w:t>
            </w:r>
            <w:r w:rsidR="00D46A9F" w:rsidRPr="00733DB2">
              <w:rPr>
                <w:rFonts w:ascii="Times New Roman" w:hAnsi="Times New Roman"/>
                <w:sz w:val="24"/>
                <w:szCs w:val="24"/>
                <w:lang w:val="ro-RO"/>
              </w:rPr>
              <w:t>(în</w:t>
            </w:r>
            <w:r w:rsidR="00D46A9F" w:rsidRPr="00733DB2">
              <w:rPr>
                <w:rFonts w:ascii="Times New Roman" w:hAnsi="Times New Roman"/>
                <w:spacing w:val="1"/>
                <w:sz w:val="24"/>
                <w:szCs w:val="24"/>
                <w:lang w:val="ro-RO"/>
              </w:rPr>
              <w:t xml:space="preserve"> </w:t>
            </w:r>
            <w:r w:rsidR="00D46A9F" w:rsidRPr="00733DB2">
              <w:rPr>
                <w:rFonts w:ascii="Times New Roman" w:hAnsi="Times New Roman"/>
                <w:sz w:val="24"/>
                <w:szCs w:val="24"/>
                <w:lang w:val="ro-RO"/>
              </w:rPr>
              <w:t xml:space="preserve">continuare – </w:t>
            </w:r>
            <w:r w:rsidR="00D46A9F" w:rsidRPr="00733DB2">
              <w:rPr>
                <w:rFonts w:ascii="Times New Roman" w:hAnsi="Times New Roman"/>
                <w:i/>
                <w:sz w:val="24"/>
                <w:szCs w:val="24"/>
                <w:lang w:val="ro-RO"/>
              </w:rPr>
              <w:t>proiect</w:t>
            </w:r>
            <w:r w:rsidR="00D46A9F" w:rsidRPr="00733DB2">
              <w:rPr>
                <w:rFonts w:ascii="Times New Roman" w:hAnsi="Times New Roman"/>
                <w:sz w:val="24"/>
                <w:szCs w:val="24"/>
                <w:lang w:val="ro-RO"/>
              </w:rPr>
              <w:t>) este elaborat de Ministerul Sănătății în comun cu Agenția Națională</w:t>
            </w:r>
            <w:r w:rsidR="00D46A9F" w:rsidRPr="00733DB2">
              <w:rPr>
                <w:rFonts w:ascii="Times New Roman" w:hAnsi="Times New Roman"/>
                <w:spacing w:val="1"/>
                <w:sz w:val="24"/>
                <w:szCs w:val="24"/>
                <w:lang w:val="ro-RO"/>
              </w:rPr>
              <w:t xml:space="preserve"> </w:t>
            </w:r>
            <w:r w:rsidR="00D46A9F" w:rsidRPr="00733DB2">
              <w:rPr>
                <w:rFonts w:ascii="Times New Roman" w:hAnsi="Times New Roman"/>
                <w:sz w:val="24"/>
                <w:szCs w:val="24"/>
                <w:lang w:val="ro-RO"/>
              </w:rPr>
              <w:t>pentru</w:t>
            </w:r>
            <w:r w:rsidR="00D46A9F" w:rsidRPr="00733DB2">
              <w:rPr>
                <w:rFonts w:ascii="Times New Roman" w:hAnsi="Times New Roman"/>
                <w:spacing w:val="-1"/>
                <w:sz w:val="24"/>
                <w:szCs w:val="24"/>
                <w:lang w:val="ro-RO"/>
              </w:rPr>
              <w:t xml:space="preserve"> </w:t>
            </w:r>
            <w:r w:rsidR="00D46A9F" w:rsidRPr="00733DB2">
              <w:rPr>
                <w:rFonts w:ascii="Times New Roman" w:hAnsi="Times New Roman"/>
                <w:sz w:val="24"/>
                <w:szCs w:val="24"/>
                <w:lang w:val="ro-RO"/>
              </w:rPr>
              <w:t>Sănătate</w:t>
            </w:r>
            <w:r w:rsidR="00D46A9F" w:rsidRPr="00733DB2">
              <w:rPr>
                <w:rFonts w:ascii="Times New Roman" w:hAnsi="Times New Roman"/>
                <w:spacing w:val="-1"/>
                <w:sz w:val="24"/>
                <w:szCs w:val="24"/>
                <w:lang w:val="ro-RO"/>
              </w:rPr>
              <w:t xml:space="preserve"> </w:t>
            </w:r>
            <w:r w:rsidR="00D46A9F" w:rsidRPr="00733DB2">
              <w:rPr>
                <w:rFonts w:ascii="Times New Roman" w:hAnsi="Times New Roman"/>
                <w:sz w:val="24"/>
                <w:szCs w:val="24"/>
                <w:lang w:val="ro-RO"/>
              </w:rPr>
              <w:t>Publică.</w:t>
            </w:r>
          </w:p>
        </w:tc>
      </w:tr>
      <w:tr w:rsidR="003C442D" w:rsidRPr="00513F7E" w14:paraId="0856DDAD"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293EB1"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2. Condițiile ce au impus elaborarea proiectului actului normativ</w:t>
            </w:r>
          </w:p>
        </w:tc>
      </w:tr>
      <w:tr w:rsidR="003C442D" w:rsidRPr="00513F7E" w14:paraId="45BF157F"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46694F" w14:textId="3B4E1831" w:rsidR="000E3FCF" w:rsidRPr="000E3FCF" w:rsidRDefault="000E3FCF" w:rsidP="000E3FCF">
            <w:pPr>
              <w:ind w:firstLine="0"/>
              <w:rPr>
                <w:rFonts w:ascii="Times New Roman" w:hAnsi="Times New Roman"/>
                <w:sz w:val="10"/>
                <w:szCs w:val="10"/>
                <w:lang w:val="ro-RO"/>
              </w:rPr>
            </w:pPr>
          </w:p>
          <w:p w14:paraId="4D99DC9B" w14:textId="5E80C247" w:rsidR="00287ED4" w:rsidRPr="00287ED4" w:rsidRDefault="000E3FCF" w:rsidP="00287ED4">
            <w:pPr>
              <w:rPr>
                <w:sz w:val="24"/>
                <w:szCs w:val="24"/>
                <w:lang w:val="ro-RO"/>
              </w:rPr>
            </w:pPr>
            <w:r>
              <w:rPr>
                <w:rFonts w:ascii="Times New Roman" w:hAnsi="Times New Roman"/>
                <w:sz w:val="24"/>
                <w:szCs w:val="24"/>
                <w:lang w:val="ro-RO"/>
              </w:rPr>
              <w:t>2.1. Temeiul legal sau, după caz, sursa proiectului actului normativ</w:t>
            </w:r>
          </w:p>
          <w:p w14:paraId="0782F35E" w14:textId="3F13BCBA" w:rsidR="00D46A9F" w:rsidRPr="00287ED4" w:rsidRDefault="00287ED4" w:rsidP="00287ED4">
            <w:pPr>
              <w:rPr>
                <w:rFonts w:ascii="Times New Roman" w:hAnsi="Times New Roman"/>
                <w:sz w:val="24"/>
                <w:szCs w:val="24"/>
                <w:lang w:val="pt-PT"/>
              </w:rPr>
            </w:pPr>
            <w:r w:rsidRPr="00287ED4">
              <w:rPr>
                <w:rFonts w:ascii="Times New Roman" w:hAnsi="Times New Roman"/>
                <w:sz w:val="24"/>
                <w:szCs w:val="24"/>
                <w:lang w:val="pt-PT"/>
              </w:rPr>
              <w:t>Proiectul de act normativ asigură armonizarea legislației naționale cu legislația comunitară referitor la calitatea apei potabile și transpune parțial Directiva (UE) 2020/2184 a Parlamentului European și a Consiliului din 16 decembrie 2020 privind calitatea apei destinate consumului uman, publicat în Jurnalul Oficial al Uniunii Europene, (OJ) L 435, 23.12.2020, p. 1–62 și creează cadrul normativ în domeniul menționat</w:t>
            </w:r>
            <w:r>
              <w:rPr>
                <w:rFonts w:ascii="Times New Roman" w:hAnsi="Times New Roman"/>
                <w:sz w:val="24"/>
                <w:szCs w:val="24"/>
                <w:lang w:val="pt-PT"/>
              </w:rPr>
              <w:t>.</w:t>
            </w:r>
          </w:p>
        </w:tc>
      </w:tr>
      <w:tr w:rsidR="003C442D" w:rsidRPr="00513F7E" w14:paraId="2F5F9D65"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A87364" w14:textId="77777777" w:rsidR="003C442D" w:rsidRDefault="00346E38">
            <w:pPr>
              <w:rPr>
                <w:rFonts w:ascii="Times New Roman" w:hAnsi="Times New Roman"/>
                <w:sz w:val="24"/>
                <w:szCs w:val="24"/>
                <w:lang w:val="ro-RO"/>
              </w:rPr>
            </w:pPr>
            <w:r>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3C442D" w:rsidRPr="00513F7E" w14:paraId="03D7F050"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F13A741" w14:textId="77777777" w:rsidR="00287ED4" w:rsidRPr="00287ED4" w:rsidRDefault="00287ED4" w:rsidP="00287ED4">
            <w:pPr>
              <w:pStyle w:val="NormalWeb"/>
              <w:rPr>
                <w:rFonts w:ascii="Times New Roman" w:hAnsi="Times New Roman"/>
                <w:lang w:val="pt-PT"/>
              </w:rPr>
            </w:pPr>
            <w:r w:rsidRPr="00287ED4">
              <w:rPr>
                <w:rFonts w:ascii="Times New Roman" w:hAnsi="Times New Roman"/>
                <w:lang w:val="pt-PT"/>
              </w:rPr>
              <w:t>Proiectul de Lege cu privire la modificarea Legii nr. 182/2019 privind calitatea apei potabile reprezintă o intervenție esențială și constantă a statului pentru a asigura o aprovizionare sustenabilă cu apă potabilă de calitate, în conformitate cu cele mai recente standarde de sănătate publică. Această inițiativă legislativă urmărește să actualizeze și să îmbunătățească reglementările existente pentru a răspunde provocărilor actuale și viitoare în domeniul apei potabile.</w:t>
            </w:r>
          </w:p>
          <w:p w14:paraId="100461B3" w14:textId="77777777" w:rsidR="00287ED4" w:rsidRPr="00287ED4" w:rsidRDefault="00287ED4" w:rsidP="00287ED4">
            <w:pPr>
              <w:pStyle w:val="NormalWeb"/>
              <w:rPr>
                <w:rFonts w:ascii="Times New Roman" w:hAnsi="Times New Roman"/>
                <w:lang w:val="pt-PT"/>
              </w:rPr>
            </w:pPr>
            <w:r w:rsidRPr="00287ED4">
              <w:rPr>
                <w:rFonts w:ascii="Times New Roman" w:hAnsi="Times New Roman"/>
                <w:lang w:val="pt-PT"/>
              </w:rPr>
              <w:t xml:space="preserve">În prezent Legea nr. 182/2019 privind calitatea apei potabile transpune Directiva 98/83/CE privind calitatea apei destinate consumului uman, publicată în Jurnalul Oficial al Comunităţilor Europene nr. L 330 din 5 decembrie 1998. În Jurnalul Oficial al Uniunii Europene L 435 din 23.12.2020 a fost publicată, Directiva Parlamentului UE și a Consiliului 2020/2184 privind calitatea apei destinată consumului uman, de reformare a Directivei 98/83/CE. </w:t>
            </w:r>
          </w:p>
          <w:p w14:paraId="1324D7E3" w14:textId="5430874D" w:rsidR="00287ED4" w:rsidRPr="00287ED4" w:rsidRDefault="00287ED4" w:rsidP="00287ED4">
            <w:pPr>
              <w:pStyle w:val="NormalWeb"/>
              <w:rPr>
                <w:rFonts w:ascii="Times New Roman" w:hAnsi="Times New Roman"/>
                <w:lang w:val="pt-PT"/>
              </w:rPr>
            </w:pPr>
            <w:r w:rsidRPr="00287ED4">
              <w:rPr>
                <w:rFonts w:ascii="Times New Roman" w:hAnsi="Times New Roman"/>
                <w:lang w:val="pt-PT"/>
              </w:rPr>
              <w:t>De asemenea, în anul 2023 a fost aprobată Hotărârea Guvernului nr. 651/2023 privind aprobarea Regulamentului sanitar privind supravegherea și monitorizarea calității apei potabile, care transpune parțial noua Directivă 2020/2184. Prin urmare, unele cerințe nu mai corespund cu Legea 182/2019 privind calitatea apei potabile, astfel creează discrepanțe pentru toți actorii implicați în asigurarea populației cu apă potabilă.</w:t>
            </w:r>
          </w:p>
          <w:p w14:paraId="3998A690" w14:textId="4E4C365C" w:rsidR="00667E58" w:rsidRDefault="00287ED4" w:rsidP="00287ED4">
            <w:pPr>
              <w:pStyle w:val="NormalWeb"/>
              <w:rPr>
                <w:rFonts w:ascii="Times New Roman" w:hAnsi="Times New Roman"/>
                <w:lang w:val="pt-PT"/>
              </w:rPr>
            </w:pPr>
            <w:r w:rsidRPr="00287ED4">
              <w:rPr>
                <w:rFonts w:ascii="Times New Roman" w:hAnsi="Times New Roman"/>
                <w:lang w:val="pt-PT"/>
              </w:rPr>
              <w:t>În ultimii ani, bolile legate de contaminarea apei potabile constituie o povară majoră pentru sănătatea umană.</w:t>
            </w:r>
            <w:r w:rsidR="00667E58">
              <w:rPr>
                <w:rFonts w:ascii="Times New Roman" w:hAnsi="Times New Roman"/>
                <w:lang w:val="pt-PT"/>
              </w:rPr>
              <w:t xml:space="preserve"> </w:t>
            </w:r>
            <w:r w:rsidRPr="00287ED4">
              <w:rPr>
                <w:rFonts w:ascii="Times New Roman" w:hAnsi="Times New Roman"/>
                <w:lang w:val="pt-PT"/>
              </w:rPr>
              <w:t>Intervențiile pentru îmbunătățirea calității apei potabile oferă beneficii semnificative pentru sănătate. Astfel, se constată că apa folosită în scopuri potabile pe teritoriul țării, este un factor care determin</w:t>
            </w:r>
            <w:r w:rsidR="00667E58">
              <w:rPr>
                <w:rFonts w:ascii="Times New Roman" w:hAnsi="Times New Roman"/>
                <w:lang w:val="pt-PT"/>
              </w:rPr>
              <w:t>ă</w:t>
            </w:r>
            <w:r w:rsidRPr="00287ED4">
              <w:rPr>
                <w:rFonts w:ascii="Times New Roman" w:hAnsi="Times New Roman"/>
                <w:lang w:val="pt-PT"/>
              </w:rPr>
              <w:t xml:space="preserve"> până la 15-20% din cazurile de boli diareice acute şi hepatită virală A, preponderent în zonele rurale, 20-25% din bolile somatice, în cazul fluorozei dentare – 100%. Astfel, în Republica Moldova, anual, se înregistrează cca. aproximativ 16-20 mii cazuri de boli diareice acute (BDA), inclusiv cu până la 10 decese printre copiii sub vârsta de 5 ani. De asemenea, urmare</w:t>
            </w:r>
            <w:r w:rsidR="00667E58">
              <w:rPr>
                <w:rFonts w:ascii="Times New Roman" w:hAnsi="Times New Roman"/>
                <w:lang w:val="pt-PT"/>
              </w:rPr>
              <w:t xml:space="preserve"> a</w:t>
            </w:r>
            <w:r w:rsidRPr="00287ED4">
              <w:rPr>
                <w:rFonts w:ascii="Times New Roman" w:hAnsi="Times New Roman"/>
                <w:lang w:val="pt-PT"/>
              </w:rPr>
              <w:t xml:space="preserve"> contaminării a apei potabile cu nitrați, în perioada anilor 2017-2021, </w:t>
            </w:r>
            <w:r w:rsidR="00667E58">
              <w:rPr>
                <w:rFonts w:ascii="Times New Roman" w:hAnsi="Times New Roman"/>
                <w:lang w:val="pt-PT"/>
              </w:rPr>
              <w:t>au fost</w:t>
            </w:r>
            <w:r w:rsidRPr="00287ED4">
              <w:rPr>
                <w:rFonts w:ascii="Times New Roman" w:hAnsi="Times New Roman"/>
                <w:lang w:val="pt-PT"/>
              </w:rPr>
              <w:t xml:space="preserve"> raportat</w:t>
            </w:r>
            <w:r w:rsidR="00667E58">
              <w:rPr>
                <w:rFonts w:ascii="Times New Roman" w:hAnsi="Times New Roman"/>
                <w:lang w:val="pt-PT"/>
              </w:rPr>
              <w:t>e</w:t>
            </w:r>
            <w:r w:rsidRPr="00287ED4">
              <w:rPr>
                <w:rFonts w:ascii="Times New Roman" w:hAnsi="Times New Roman"/>
                <w:lang w:val="pt-PT"/>
              </w:rPr>
              <w:t xml:space="preserve"> la nivel național 34 cazuri de intoxicații acute cu nitrați, dintre care 3 cazuri, fiind soldate cu deces în rândul copiilor. </w:t>
            </w:r>
          </w:p>
          <w:p w14:paraId="369D862F" w14:textId="6BB1A15B" w:rsidR="00667E58" w:rsidRPr="00667E58" w:rsidRDefault="00667E58" w:rsidP="00667E58">
            <w:pPr>
              <w:pStyle w:val="NormalWeb"/>
              <w:rPr>
                <w:rFonts w:ascii="Times New Roman" w:hAnsi="Times New Roman"/>
                <w:lang w:val="pt-PT"/>
              </w:rPr>
            </w:pPr>
            <w:r w:rsidRPr="00667E58">
              <w:rPr>
                <w:rFonts w:ascii="Times New Roman" w:hAnsi="Times New Roman"/>
                <w:lang w:val="pt-PT"/>
              </w:rPr>
              <w:t>Conform datelor investigațiilor de laborator efectuate de către ANSP pe parcursul anilor 2020-2022 se constată faptul</w:t>
            </w:r>
            <w:r>
              <w:rPr>
                <w:rFonts w:ascii="Times New Roman" w:hAnsi="Times New Roman"/>
                <w:lang w:val="pt-PT"/>
              </w:rPr>
              <w:t>,</w:t>
            </w:r>
            <w:r w:rsidRPr="00667E58">
              <w:rPr>
                <w:rFonts w:ascii="Times New Roman" w:hAnsi="Times New Roman"/>
                <w:lang w:val="pt-PT"/>
              </w:rPr>
              <w:t xml:space="preserve"> că ponderea probelor neconforme investigate din sursele centralizate subterane de alimentare cu apă a variat între 71,9% și 65,8% la  parametrii chimici și între 20% și 29,3%  la cei microbiologici. În același timp ponderea probelor investigate din sursele de suprafață de alimentare cu apă a populației</w:t>
            </w:r>
            <w:r>
              <w:rPr>
                <w:rFonts w:ascii="Times New Roman" w:hAnsi="Times New Roman"/>
                <w:lang w:val="pt-PT"/>
              </w:rPr>
              <w:t>,</w:t>
            </w:r>
            <w:r w:rsidRPr="00667E58">
              <w:rPr>
                <w:rFonts w:ascii="Times New Roman" w:hAnsi="Times New Roman"/>
                <w:lang w:val="pt-PT"/>
              </w:rPr>
              <w:t xml:space="preserve"> neconforme</w:t>
            </w:r>
            <w:r>
              <w:rPr>
                <w:rFonts w:ascii="Times New Roman" w:hAnsi="Times New Roman"/>
                <w:lang w:val="pt-PT"/>
              </w:rPr>
              <w:t xml:space="preserve"> </w:t>
            </w:r>
            <w:r w:rsidRPr="00667E58">
              <w:rPr>
                <w:rFonts w:ascii="Times New Roman" w:hAnsi="Times New Roman"/>
                <w:lang w:val="pt-PT"/>
              </w:rPr>
              <w:t>parametrilor de potabilitate a variat între 11,3% și 12,6% după parametrii chimici și între 44,5% și 39,1% la  parametrii  microbiologici.</w:t>
            </w:r>
          </w:p>
          <w:p w14:paraId="55379988" w14:textId="54318BDE" w:rsidR="00667E58" w:rsidRDefault="00667E58" w:rsidP="00667E58">
            <w:pPr>
              <w:pStyle w:val="NormalWeb"/>
              <w:rPr>
                <w:rFonts w:ascii="Times New Roman" w:hAnsi="Times New Roman"/>
                <w:lang w:val="pt-PT"/>
              </w:rPr>
            </w:pPr>
            <w:r w:rsidRPr="00667E58">
              <w:rPr>
                <w:rFonts w:ascii="Times New Roman" w:hAnsi="Times New Roman"/>
                <w:lang w:val="pt-PT"/>
              </w:rPr>
              <w:lastRenderedPageBreak/>
              <w:t>Dreptul omului la apă corespunde cu ODD 6 din Agenda ONU 2030, care se referă și la disponibilitatea apei și a canalizării pentru toți. În plus, lipsa accesului la apă este o problemă și din perspectiva sănătății. Astfel, potrivit datelor Biroului Național de Statistică (BNS), pentru anii 2020-2021 acces la sistemele publice de alimentare cu apă au avut 59,9% din localitățile țării. Lipsa de acces se datorează fie lipsei sistemelor de alimentare cu apă potabilă în unele localități sau porțiuni de localități din mediul rural, fie neconectării populației la sistemele de alimentare existente, în cele mai multe cazuri din lipsa mijloacelor materiale.</w:t>
            </w:r>
          </w:p>
          <w:p w14:paraId="50122C23" w14:textId="72006FDE" w:rsidR="00667E58" w:rsidRPr="00667E58" w:rsidRDefault="00667E58" w:rsidP="00667E58">
            <w:pPr>
              <w:pStyle w:val="NormalWeb"/>
              <w:rPr>
                <w:rFonts w:ascii="Times New Roman" w:hAnsi="Times New Roman"/>
                <w:lang w:val="pt-PT"/>
              </w:rPr>
            </w:pPr>
            <w:r w:rsidRPr="00667E58">
              <w:rPr>
                <w:rFonts w:ascii="Times New Roman" w:hAnsi="Times New Roman"/>
                <w:lang w:val="pt-PT"/>
              </w:rPr>
              <w:t>În ultimii ani, cercetările științifice au evidențiat prezența unor noi contaminanți și riscuri pentru sănătatea publică asociate cu apa potabilă.</w:t>
            </w:r>
            <w:r w:rsidR="00136A10">
              <w:rPr>
                <w:rFonts w:ascii="Times New Roman" w:hAnsi="Times New Roman"/>
                <w:lang w:val="pt-PT"/>
              </w:rPr>
              <w:t xml:space="preserve"> </w:t>
            </w:r>
            <w:r w:rsidRPr="00667E58">
              <w:rPr>
                <w:rFonts w:ascii="Times New Roman" w:hAnsi="Times New Roman"/>
                <w:lang w:val="pt-PT"/>
              </w:rPr>
              <w:t>Aceste descoperiri subliniază necesitatea</w:t>
            </w:r>
            <w:r>
              <w:rPr>
                <w:rFonts w:ascii="Times New Roman" w:hAnsi="Times New Roman"/>
                <w:lang w:val="pt-PT"/>
              </w:rPr>
              <w:t xml:space="preserve"> </w:t>
            </w:r>
            <w:r w:rsidRPr="00667E58">
              <w:rPr>
                <w:rFonts w:ascii="Times New Roman" w:hAnsi="Times New Roman"/>
                <w:lang w:val="pt-PT"/>
              </w:rPr>
              <w:t>actualizării periodice a listei parametrilor de calitate a apei potabile. Actualizarea acestei liste nu numai că implică introducerea de noi parametri și ajustarea valorilor maxime admise pentru anumiți contaminanți, dar și excluderea unor parametri care nu mai prezintă relevanță semnificativă pentru sănătatea publică.</w:t>
            </w:r>
          </w:p>
          <w:p w14:paraId="64340C03" w14:textId="2CD6A68F" w:rsidR="00667E58" w:rsidRPr="00667E58" w:rsidRDefault="00667E58" w:rsidP="00667E58">
            <w:pPr>
              <w:pStyle w:val="NormalWeb"/>
              <w:rPr>
                <w:rFonts w:ascii="Times New Roman" w:hAnsi="Times New Roman"/>
                <w:lang w:val="pt-PT"/>
              </w:rPr>
            </w:pPr>
            <w:r w:rsidRPr="00667E58">
              <w:rPr>
                <w:rFonts w:ascii="Times New Roman" w:hAnsi="Times New Roman"/>
                <w:lang w:val="pt-PT"/>
              </w:rPr>
              <w:t xml:space="preserve">În contextul actual al reglementărilor privind apa potabilă, adoptarea unei abordări bazate pe gestionarea riscurilor este esențială, mai ales după aprobarea noii Directive. Prin evaluarea și gestionarea riguroasă a riscurilor la fiecare etapă a procesului de </w:t>
            </w:r>
            <w:r w:rsidR="009C5F35">
              <w:rPr>
                <w:rFonts w:ascii="Times New Roman" w:hAnsi="Times New Roman"/>
                <w:lang w:val="pt-PT"/>
              </w:rPr>
              <w:t>captare</w:t>
            </w:r>
            <w:r w:rsidRPr="00667E58">
              <w:rPr>
                <w:rFonts w:ascii="Times New Roman" w:hAnsi="Times New Roman"/>
                <w:lang w:val="pt-PT"/>
              </w:rPr>
              <w:t>, producție și distribuție a apei, se poate asigura c</w:t>
            </w:r>
            <w:r w:rsidR="00E14330">
              <w:rPr>
                <w:rFonts w:ascii="Times New Roman" w:hAnsi="Times New Roman"/>
                <w:lang w:val="pt-PT"/>
              </w:rPr>
              <w:t>a</w:t>
            </w:r>
            <w:r w:rsidRPr="00667E58">
              <w:rPr>
                <w:rFonts w:ascii="Times New Roman" w:hAnsi="Times New Roman"/>
                <w:lang w:val="pt-PT"/>
              </w:rPr>
              <w:t xml:space="preserve"> consumatorii beneficiază de apă potabilă de înaltă calitate și sigură pentru sănătatea lor. O abordare integrativă bazată pe gestionarea riscurilor asigură: (i) îmbunătățirea calității apei potabile; (ii) protejarea sănătății publice prin minimizarea expunerii populației la contaminanți periculoși; (iii) reducerea riscului de boli asociate cu consumul de apă contaminată; (iv) creșterea încrederii consumatorilor prin comunicare transparentă cu publicul care la rândul său consolidează încrederea consumatorilor în siguranța apei potabile furnizate.</w:t>
            </w:r>
          </w:p>
          <w:p w14:paraId="3BBDAC00" w14:textId="77777777" w:rsidR="00667E58" w:rsidRPr="00667E58" w:rsidRDefault="00667E58" w:rsidP="00667E58">
            <w:pPr>
              <w:pStyle w:val="NormalWeb"/>
              <w:rPr>
                <w:rFonts w:ascii="Times New Roman" w:hAnsi="Times New Roman"/>
                <w:lang w:val="pt-PT"/>
              </w:rPr>
            </w:pPr>
            <w:r w:rsidRPr="00667E58">
              <w:rPr>
                <w:rFonts w:ascii="Times New Roman" w:hAnsi="Times New Roman"/>
                <w:lang w:val="pt-PT"/>
              </w:rPr>
              <w:t>În ceea ce privește derogările care pot fi acordate pentru parametrii chimici ai apei potabile, procedura de aprobare se regăsește în Legea 182/2019 privind calitatea apei potabile, însă nu este clar care este modul de acordare și aprobare de către Guvern a acestor derogări. În aceste condiții, este necesar de prevăzut o altă metodologie de acordare a derogărilor și autoritatea responsabilă de acordarea acestora.</w:t>
            </w:r>
          </w:p>
          <w:p w14:paraId="767C5ED4" w14:textId="3B438955" w:rsidR="00667E58" w:rsidRPr="00667E58" w:rsidRDefault="00667E58" w:rsidP="00667E58">
            <w:pPr>
              <w:pStyle w:val="NormalWeb"/>
              <w:rPr>
                <w:rFonts w:ascii="Times New Roman" w:hAnsi="Times New Roman"/>
                <w:lang w:val="pt-PT"/>
              </w:rPr>
            </w:pPr>
            <w:r w:rsidRPr="00667E58">
              <w:rPr>
                <w:rFonts w:ascii="Times New Roman" w:hAnsi="Times New Roman"/>
                <w:lang w:val="pt-PT"/>
              </w:rPr>
              <w:t>Din cauza neclarităților în procesul de obținere a derogărilor din momentul aprobării Legii 182/2019, nu a fost aprobată nici</w:t>
            </w:r>
            <w:r w:rsidR="00203674">
              <w:rPr>
                <w:rFonts w:ascii="Times New Roman" w:hAnsi="Times New Roman"/>
                <w:lang w:val="pt-PT"/>
              </w:rPr>
              <w:t xml:space="preserve"> </w:t>
            </w:r>
            <w:r w:rsidRPr="00667E58">
              <w:rPr>
                <w:rFonts w:ascii="Times New Roman" w:hAnsi="Times New Roman"/>
                <w:lang w:val="pt-PT"/>
              </w:rPr>
              <w:t>o derogare de la parametrii valorici stabiliți conform legislației. Această situație subliniază necesitatea urgentă de revizuire a legislației și de clarificare a procedurilor, pentru a evita blocajele administrative și pentru a asigura că apa potabilă furnizată populației este sigură și în conformitate cu standardele europene și internaționale.</w:t>
            </w:r>
          </w:p>
          <w:p w14:paraId="1C4EDB43" w14:textId="28F863F6" w:rsidR="00667E58" w:rsidRPr="00667E58" w:rsidRDefault="00667E58" w:rsidP="00667E58">
            <w:pPr>
              <w:pStyle w:val="NormalWeb"/>
              <w:rPr>
                <w:rFonts w:ascii="Times New Roman" w:hAnsi="Times New Roman"/>
                <w:lang w:val="pt-PT"/>
              </w:rPr>
            </w:pPr>
            <w:r w:rsidRPr="00667E58">
              <w:rPr>
                <w:rFonts w:ascii="Times New Roman" w:hAnsi="Times New Roman"/>
                <w:lang w:val="pt-PT"/>
              </w:rPr>
              <w:t>Astfel pentru a asigura o aplicare eficientă a derogărilor pentru parametrii chimici ai apei potabile, este o necesitate stringentă de clarificat și standardizat procedurile printr-o metodologie bine definită și prin desemnarea autorității responsabile. Aceste măsuri vor contribui la îmbunătățirea calității apei potabile și la protejarea sănătății publice.</w:t>
            </w:r>
          </w:p>
          <w:p w14:paraId="183E50B7" w14:textId="4514E851" w:rsidR="00667E58" w:rsidRPr="00667E58" w:rsidRDefault="00667E58" w:rsidP="00667E58">
            <w:pPr>
              <w:pStyle w:val="NormalWeb"/>
              <w:rPr>
                <w:rFonts w:ascii="Times New Roman" w:hAnsi="Times New Roman"/>
                <w:lang w:val="pt-PT"/>
              </w:rPr>
            </w:pPr>
            <w:r w:rsidRPr="00667E58">
              <w:rPr>
                <w:rFonts w:ascii="Times New Roman" w:hAnsi="Times New Roman"/>
                <w:lang w:val="pt-PT"/>
              </w:rPr>
              <w:t>Finalitatea</w:t>
            </w:r>
            <w:r w:rsidR="00203674">
              <w:rPr>
                <w:rFonts w:ascii="Times New Roman" w:hAnsi="Times New Roman"/>
                <w:lang w:val="pt-PT"/>
              </w:rPr>
              <w:t xml:space="preserve"> </w:t>
            </w:r>
            <w:r w:rsidRPr="00667E58">
              <w:rPr>
                <w:rFonts w:ascii="Times New Roman" w:hAnsi="Times New Roman"/>
                <w:lang w:val="pt-PT"/>
              </w:rPr>
              <w:t>prezentului proiect de act normativ este de a stabili prevederi suficient de cuprinzătoare pentru a reglementa integral modul de acordare a derogărilor, asigurarea accesului universal la apă potabilă, actualizarea listei de parametri supuși verificării și instituirea unui sistem de evaluare a riscurilor care să acopere întregul sistem de alimentare cu apă potabilă.</w:t>
            </w:r>
          </w:p>
          <w:p w14:paraId="0225EBE9" w14:textId="6FBF627A" w:rsidR="00733DB2" w:rsidRPr="00203674" w:rsidRDefault="00667E58" w:rsidP="00203674">
            <w:pPr>
              <w:pStyle w:val="NormalWeb"/>
              <w:rPr>
                <w:rFonts w:ascii="Times New Roman" w:hAnsi="Times New Roman"/>
                <w:lang w:val="pt-PT"/>
              </w:rPr>
            </w:pPr>
            <w:r w:rsidRPr="00667E58">
              <w:rPr>
                <w:rFonts w:ascii="Times New Roman" w:hAnsi="Times New Roman"/>
                <w:lang w:val="pt-PT"/>
              </w:rPr>
              <w:t>Deoarece proiectul de act normativ inserează norme de reglementare a activității de întreprinzător și impune anumite reguli și obligații producătorului/operatorului de apă potabilă, prin prisma prevederilor art. 25 al Legii nr. 100/2017 privind actele normative și ale Legii nr. 235/2006 cu privire la principiile de bază ale activității de întreprinzător, se impune elaborarea analizei impactului de reglementare.</w:t>
            </w:r>
          </w:p>
        </w:tc>
      </w:tr>
      <w:tr w:rsidR="003C442D" w14:paraId="1C6288E8"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E2AD60E"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lastRenderedPageBreak/>
              <w:t>3. Obiectivele urmărite și soluțiile propuse</w:t>
            </w:r>
          </w:p>
        </w:tc>
      </w:tr>
      <w:tr w:rsidR="003C442D" w:rsidRPr="00513F7E" w14:paraId="091A1D18"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103A6CA" w14:textId="77777777" w:rsidR="003C442D" w:rsidRPr="00016556" w:rsidRDefault="00346E38">
            <w:pPr>
              <w:rPr>
                <w:rFonts w:ascii="Times New Roman" w:hAnsi="Times New Roman"/>
                <w:sz w:val="24"/>
                <w:szCs w:val="24"/>
                <w:lang w:val="ro-RO"/>
              </w:rPr>
            </w:pPr>
            <w:r w:rsidRPr="00016556">
              <w:rPr>
                <w:rFonts w:ascii="Times New Roman" w:hAnsi="Times New Roman"/>
                <w:sz w:val="24"/>
                <w:szCs w:val="24"/>
                <w:lang w:val="ro-RO"/>
              </w:rPr>
              <w:t>3.1. Principalele prevederi ale proiectului și evidențierea elementelor noi</w:t>
            </w:r>
          </w:p>
          <w:p w14:paraId="20557A8F" w14:textId="684ECB44" w:rsidR="00DC6588" w:rsidRPr="00DC6588" w:rsidRDefault="00DC6588" w:rsidP="00DC6588">
            <w:pPr>
              <w:pStyle w:val="NormalWeb"/>
              <w:rPr>
                <w:rFonts w:ascii="Times New Roman" w:hAnsi="Times New Roman"/>
                <w:lang w:val="pt-PT"/>
              </w:rPr>
            </w:pPr>
            <w:r w:rsidRPr="00DC6588">
              <w:rPr>
                <w:rFonts w:ascii="Times New Roman" w:hAnsi="Times New Roman"/>
                <w:color w:val="000000" w:themeColor="text1"/>
                <w:lang w:val="pt-PT" w:eastAsia="en-US"/>
              </w:rPr>
              <w:t xml:space="preserve">Proiectul prezentat asigură continuarea procesului de armonizare legislativă în domeniul </w:t>
            </w:r>
            <w:r w:rsidRPr="00DC6588">
              <w:rPr>
                <w:rFonts w:ascii="Times New Roman" w:hAnsi="Times New Roman"/>
                <w:color w:val="000000" w:themeColor="text1"/>
                <w:lang w:val="pt-PT"/>
              </w:rPr>
              <w:t>siguranței apei potabile. Proiectul conține completări care au fost introduse în 2020 prin aprobarea</w:t>
            </w:r>
            <w:r>
              <w:rPr>
                <w:rFonts w:ascii="Times New Roman" w:hAnsi="Times New Roman"/>
                <w:color w:val="000000" w:themeColor="text1"/>
                <w:lang w:val="pt-PT"/>
              </w:rPr>
              <w:t xml:space="preserve"> </w:t>
            </w:r>
            <w:r w:rsidRPr="00DC6588">
              <w:rPr>
                <w:rFonts w:ascii="Times New Roman" w:hAnsi="Times New Roman"/>
                <w:lang w:val="pt-PT"/>
              </w:rPr>
              <w:lastRenderedPageBreak/>
              <w:t>Directivei (UE) 2020/2184 a Parlamentului European și a Consiliului din 16 decembrie 2020</w:t>
            </w:r>
            <w:r w:rsidRPr="00DC6588">
              <w:rPr>
                <w:lang w:val="fr-FR"/>
              </w:rPr>
              <w:t xml:space="preserve"> </w:t>
            </w:r>
            <w:r w:rsidRPr="00DC6588">
              <w:rPr>
                <w:rFonts w:ascii="Times New Roman" w:hAnsi="Times New Roman"/>
                <w:lang w:val="pt-PT"/>
              </w:rPr>
              <w:t xml:space="preserve">privind calitatea apei destinate consumului uman. </w:t>
            </w:r>
          </w:p>
          <w:p w14:paraId="0A4B7E12"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 xml:space="preserve">Principalele prevederi incluse în proiect se referă la următoarele aspecte: </w:t>
            </w:r>
          </w:p>
          <w:p w14:paraId="0D301BE9"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w:t>
            </w:r>
            <w:r w:rsidRPr="00DC6588">
              <w:rPr>
                <w:rFonts w:ascii="Times New Roman" w:hAnsi="Times New Roman"/>
                <w:lang w:val="pt-PT"/>
              </w:rPr>
              <w:tab/>
              <w:t xml:space="preserve">Cuprinsul legii se completează cu </w:t>
            </w:r>
            <w:r w:rsidRPr="00636406">
              <w:rPr>
                <w:rFonts w:ascii="Times New Roman" w:hAnsi="Times New Roman"/>
                <w:b/>
                <w:bCs/>
                <w:lang w:val="pt-PT"/>
              </w:rPr>
              <w:t>noțiuni noi</w:t>
            </w:r>
            <w:r w:rsidRPr="00DC6588">
              <w:rPr>
                <w:rFonts w:ascii="Times New Roman" w:hAnsi="Times New Roman"/>
                <w:lang w:val="pt-PT"/>
              </w:rPr>
              <w:t>, care se aliniază noțiunilor definite în legislația europeană: „eveniment periculos”, „întreprindere din domeniul alimentar”, „operator în sectorul alimentar”, „pericol”, „risc”.</w:t>
            </w:r>
          </w:p>
          <w:p w14:paraId="09AB62EF"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w:t>
            </w:r>
            <w:r w:rsidRPr="00DC6588">
              <w:rPr>
                <w:rFonts w:ascii="Times New Roman" w:hAnsi="Times New Roman"/>
                <w:lang w:val="pt-PT"/>
              </w:rPr>
              <w:tab/>
              <w:t xml:space="preserve">Stabilirea principiilor generale față de </w:t>
            </w:r>
            <w:r w:rsidRPr="00636406">
              <w:rPr>
                <w:rFonts w:ascii="Times New Roman" w:hAnsi="Times New Roman"/>
                <w:b/>
                <w:bCs/>
                <w:lang w:val="pt-PT"/>
              </w:rPr>
              <w:t>gestionarea riscurilor de contaminare</w:t>
            </w:r>
            <w:r w:rsidRPr="00DC6588">
              <w:rPr>
                <w:rFonts w:ascii="Times New Roman" w:hAnsi="Times New Roman"/>
                <w:lang w:val="pt-PT"/>
              </w:rPr>
              <w:t>. Până în prezent, procedura de gestionare a riscurilor este prevăzută doar pentru sistemul de distribuție a apei. Se propune o abordare nouă a siguranței apei potabile, prin evaluarea și gestionarea riscurilor de la bazinele hidrografice, trecând prin captare, sistem de aprovizionare și sistemele de distribuție din interiorul clădirilor care până acum făceau doar obiectul unor informări ale consumatorilor. Această nouă abordare lărgește cu mult și domeniul de atribuții, competențe și autorități implicate. Abordarea bazată pe riscuri introduce practic trasabilitatea în domeniul apei potabile și în acest fel se trece la măsuri de prevenire a contaminării apei potabile și implicit a protejării sănătății, decât la intervenții de remediere a unei ape neconforme.</w:t>
            </w:r>
          </w:p>
          <w:p w14:paraId="0EFF2186"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w:t>
            </w:r>
            <w:r w:rsidRPr="00DC6588">
              <w:rPr>
                <w:rFonts w:ascii="Times New Roman" w:hAnsi="Times New Roman"/>
                <w:lang w:val="pt-PT"/>
              </w:rPr>
              <w:tab/>
              <w:t xml:space="preserve">Modificarea procedurii de </w:t>
            </w:r>
            <w:r w:rsidRPr="00636406">
              <w:rPr>
                <w:rFonts w:ascii="Times New Roman" w:hAnsi="Times New Roman"/>
                <w:b/>
                <w:bCs/>
                <w:lang w:val="pt-PT"/>
              </w:rPr>
              <w:t>acordare a derogării</w:t>
            </w:r>
            <w:r w:rsidRPr="00DC6588">
              <w:rPr>
                <w:rFonts w:ascii="Times New Roman" w:hAnsi="Times New Roman"/>
                <w:lang w:val="pt-PT"/>
              </w:rPr>
              <w:t xml:space="preserve">, stabilind clar mecanismele și autoritățile responsabile pentru aprobare acestora. </w:t>
            </w:r>
          </w:p>
          <w:p w14:paraId="6CB5DC15"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w:t>
            </w:r>
            <w:r w:rsidRPr="00DC6588">
              <w:rPr>
                <w:rFonts w:ascii="Times New Roman" w:hAnsi="Times New Roman"/>
                <w:lang w:val="pt-PT"/>
              </w:rPr>
              <w:tab/>
              <w:t xml:space="preserve">Stabilirea cerințelor precise pentru asigurarea </w:t>
            </w:r>
            <w:r w:rsidRPr="00636406">
              <w:rPr>
                <w:rFonts w:ascii="Times New Roman" w:hAnsi="Times New Roman"/>
                <w:b/>
                <w:bCs/>
                <w:lang w:val="pt-PT"/>
              </w:rPr>
              <w:t>accesului populației</w:t>
            </w:r>
            <w:r w:rsidRPr="00DC6588">
              <w:rPr>
                <w:rFonts w:ascii="Times New Roman" w:hAnsi="Times New Roman"/>
                <w:lang w:val="pt-PT"/>
              </w:rPr>
              <w:t xml:space="preserve"> la surse sigure de apă potabilă. Acest aspect este crucial pentru protejarea sănătății publice și pentru asigurarea dreptului universal al oamenilor la apă potabilă de calitate.</w:t>
            </w:r>
          </w:p>
          <w:p w14:paraId="17C8F9A2"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w:t>
            </w:r>
            <w:r w:rsidRPr="00DC6588">
              <w:rPr>
                <w:rFonts w:ascii="Times New Roman" w:hAnsi="Times New Roman"/>
                <w:lang w:val="pt-PT"/>
              </w:rPr>
              <w:tab/>
              <w:t xml:space="preserve">Revizuirea și actualizarea </w:t>
            </w:r>
            <w:r w:rsidRPr="00636406">
              <w:rPr>
                <w:rFonts w:ascii="Times New Roman" w:hAnsi="Times New Roman"/>
                <w:b/>
                <w:bCs/>
                <w:lang w:val="pt-PT"/>
              </w:rPr>
              <w:t>listei parametrilor</w:t>
            </w:r>
            <w:r w:rsidRPr="00DC6588">
              <w:rPr>
                <w:rFonts w:ascii="Times New Roman" w:hAnsi="Times New Roman"/>
                <w:lang w:val="pt-PT"/>
              </w:rPr>
              <w:t xml:space="preserve"> de calitate a apei potabile expuse în tabelul 2 din anexă. În conformitate cu cele mai noi descoperiri științifice, proiectul propune revizuirea și actualizarea listei parametrilor de calitate a apei potabile. Acest proces include revizuirea limitelor existente pentru contaminanți precum antimoniu, bor, cadmiu, crom, plumb, seleniu,, totodată și includerea a parametrilor noi precum Bisfenol A, Clorat, Clorit, PFAS Total, Suma PFAS, Uraniu, bazată pe cele mai recente date științifice și progresele tehnologice în domeniu.</w:t>
            </w:r>
          </w:p>
          <w:p w14:paraId="141D73D3" w14:textId="77777777" w:rsidR="00DC6588" w:rsidRPr="00DC6588" w:rsidRDefault="00DC6588" w:rsidP="00DC6588">
            <w:pPr>
              <w:pStyle w:val="NormalWeb"/>
              <w:rPr>
                <w:rFonts w:ascii="Times New Roman" w:hAnsi="Times New Roman"/>
                <w:lang w:val="pt-PT"/>
              </w:rPr>
            </w:pPr>
            <w:r w:rsidRPr="00DC6588">
              <w:rPr>
                <w:rFonts w:ascii="Times New Roman" w:hAnsi="Times New Roman"/>
                <w:lang w:val="pt-PT"/>
              </w:rPr>
              <w:t>-</w:t>
            </w:r>
            <w:r w:rsidRPr="00DC6588">
              <w:rPr>
                <w:rFonts w:ascii="Times New Roman" w:hAnsi="Times New Roman"/>
                <w:lang w:val="pt-PT"/>
              </w:rPr>
              <w:tab/>
              <w:t>De asemenea, se propune completarea Anexei cu tabelul 4, Lista parametrilor ce reprezintă un motiv de preocupare legat de apa potabilă și  pot fi supuși monitorizării suplimentare - 17-beta-estradiol^2 și Nonilfenol^3.</w:t>
            </w:r>
          </w:p>
          <w:p w14:paraId="0B2AEEDC" w14:textId="48F1336D" w:rsidR="00621366" w:rsidRPr="00DC6588" w:rsidRDefault="00DC6588" w:rsidP="00DC6588">
            <w:pPr>
              <w:pStyle w:val="NormalWeb"/>
              <w:rPr>
                <w:rFonts w:ascii="Times New Roman" w:hAnsi="Times New Roman"/>
                <w:color w:val="000000" w:themeColor="text1"/>
                <w:lang w:val="pt-PT"/>
              </w:rPr>
            </w:pPr>
            <w:r w:rsidRPr="00DC6588">
              <w:rPr>
                <w:rFonts w:ascii="Times New Roman" w:hAnsi="Times New Roman"/>
                <w:lang w:val="pt-PT"/>
              </w:rPr>
              <w:t>Prevederile fundamentale ale prezentului act normativ se adresează în mod direct sănătății publice și identificării riscurilor consumului de apă potabilă care nu asigură normativele în vigoare.</w:t>
            </w:r>
            <w:r>
              <w:rPr>
                <w:rFonts w:ascii="Times New Roman" w:hAnsi="Times New Roman"/>
                <w:lang w:val="pt-PT"/>
              </w:rPr>
              <w:t xml:space="preserve"> </w:t>
            </w:r>
          </w:p>
        </w:tc>
      </w:tr>
      <w:tr w:rsidR="003C442D" w:rsidRPr="00513F7E" w14:paraId="6A4A4B3F"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2638FE8" w14:textId="1514E086" w:rsidR="00621366" w:rsidRPr="000E3FCF" w:rsidRDefault="00346E38" w:rsidP="000E3FCF">
            <w:pPr>
              <w:rPr>
                <w:rFonts w:ascii="Times New Roman" w:hAnsi="Times New Roman"/>
                <w:sz w:val="24"/>
                <w:szCs w:val="24"/>
                <w:lang w:val="ro-RO"/>
              </w:rPr>
            </w:pPr>
            <w:r w:rsidRPr="000E3FCF">
              <w:rPr>
                <w:rFonts w:ascii="Times New Roman" w:hAnsi="Times New Roman"/>
                <w:sz w:val="24"/>
                <w:szCs w:val="24"/>
                <w:lang w:val="ro-RO"/>
              </w:rPr>
              <w:lastRenderedPageBreak/>
              <w:t>3.2. Opțiunile alternative analizate și motivele pentru care acestea nu au fost luate în considerare</w:t>
            </w:r>
          </w:p>
          <w:p w14:paraId="49DACF2A" w14:textId="6E7FE962" w:rsidR="00621366" w:rsidRPr="000E3FCF" w:rsidRDefault="000E3FCF" w:rsidP="000E3FCF">
            <w:pPr>
              <w:rPr>
                <w:rFonts w:ascii="Times New Roman" w:hAnsi="Times New Roman"/>
                <w:sz w:val="24"/>
                <w:szCs w:val="24"/>
                <w:lang w:val="pt-PT"/>
              </w:rPr>
            </w:pPr>
            <w:r w:rsidRPr="000E3FCF">
              <w:rPr>
                <w:rFonts w:ascii="Times New Roman" w:hAnsi="Times New Roman"/>
                <w:sz w:val="24"/>
                <w:szCs w:val="24"/>
                <w:lang w:val="pt-PT"/>
              </w:rPr>
              <w:t>Nu au fost identificate alte opțiuni alternative.</w:t>
            </w:r>
          </w:p>
        </w:tc>
      </w:tr>
      <w:tr w:rsidR="003C442D" w:rsidRPr="00513F7E" w14:paraId="04B7CD53"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358EE5" w14:textId="77777777" w:rsidR="003C442D" w:rsidRDefault="00346E38">
            <w:pPr>
              <w:rPr>
                <w:rFonts w:ascii="Times New Roman" w:hAnsi="Times New Roman"/>
                <w:sz w:val="24"/>
                <w:szCs w:val="24"/>
                <w:lang w:val="ro-RO"/>
              </w:rPr>
            </w:pPr>
            <w:r>
              <w:rPr>
                <w:rFonts w:ascii="Times New Roman" w:hAnsi="Times New Roman"/>
                <w:sz w:val="24"/>
                <w:szCs w:val="24"/>
                <w:lang w:val="ro-RO"/>
              </w:rPr>
              <w:t xml:space="preserve"> </w:t>
            </w:r>
          </w:p>
        </w:tc>
      </w:tr>
      <w:tr w:rsidR="003C442D" w14:paraId="05B1DA3A" w14:textId="77777777" w:rsidTr="00E853B9">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4C8C5F"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 xml:space="preserve">4. Analiza impactului de reglementare </w:t>
            </w:r>
          </w:p>
        </w:tc>
      </w:tr>
      <w:tr w:rsidR="003C442D" w14:paraId="0D0D16BF"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0DA203" w14:textId="77777777" w:rsidR="003C442D" w:rsidRDefault="00346E38">
            <w:pPr>
              <w:rPr>
                <w:rFonts w:ascii="Times New Roman" w:hAnsi="Times New Roman"/>
                <w:sz w:val="24"/>
                <w:szCs w:val="24"/>
                <w:lang w:val="ro-RO"/>
              </w:rPr>
            </w:pPr>
            <w:r>
              <w:rPr>
                <w:rFonts w:ascii="Times New Roman" w:hAnsi="Times New Roman"/>
                <w:sz w:val="24"/>
                <w:szCs w:val="24"/>
                <w:lang w:val="ro-RO"/>
              </w:rPr>
              <w:t>4.1. Impactul asupra sectorului public</w:t>
            </w:r>
          </w:p>
        </w:tc>
      </w:tr>
      <w:tr w:rsidR="003C442D" w:rsidRPr="00513F7E" w14:paraId="710E7B5B"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13ED41" w14:textId="77777777" w:rsidR="00633F2B" w:rsidRDefault="00346E38" w:rsidP="00633F2B">
            <w:pPr>
              <w:rPr>
                <w:rFonts w:ascii="Times New Roman" w:hAnsi="Times New Roman"/>
                <w:sz w:val="24"/>
                <w:szCs w:val="24"/>
                <w:lang w:val="ro-RO"/>
              </w:rPr>
            </w:pPr>
            <w:r>
              <w:rPr>
                <w:rFonts w:ascii="Times New Roman" w:hAnsi="Times New Roman"/>
                <w:sz w:val="24"/>
                <w:szCs w:val="24"/>
                <w:lang w:val="ro-RO"/>
              </w:rPr>
              <w:t>4.2. Impactul financiar și argumentarea costurilor estimative</w:t>
            </w:r>
          </w:p>
          <w:p w14:paraId="5CD133CA" w14:textId="77777777" w:rsidR="00633F2B" w:rsidRPr="00633F2B" w:rsidRDefault="00633F2B" w:rsidP="00633F2B">
            <w:pPr>
              <w:ind w:firstLine="606"/>
              <w:rPr>
                <w:rFonts w:ascii="Times New Roman" w:hAnsi="Times New Roman"/>
                <w:sz w:val="24"/>
                <w:szCs w:val="24"/>
                <w:lang w:val="ro-RO"/>
              </w:rPr>
            </w:pPr>
            <w:r w:rsidRPr="00633F2B">
              <w:rPr>
                <w:rFonts w:ascii="Times New Roman" w:hAnsi="Times New Roman"/>
                <w:sz w:val="24"/>
                <w:szCs w:val="24"/>
                <w:lang w:val="ro-RO"/>
              </w:rPr>
              <w:t>Implementarea proiectului nu va presupune cheltuieli financiare suplimentare din bugetul de</w:t>
            </w:r>
          </w:p>
          <w:p w14:paraId="60BCC145" w14:textId="77777777" w:rsidR="00633F2B" w:rsidRPr="00633F2B" w:rsidRDefault="00633F2B" w:rsidP="00633F2B">
            <w:pPr>
              <w:rPr>
                <w:rFonts w:ascii="Times New Roman" w:hAnsi="Times New Roman"/>
                <w:sz w:val="24"/>
                <w:szCs w:val="24"/>
                <w:lang w:val="ro-RO"/>
              </w:rPr>
            </w:pPr>
            <w:r w:rsidRPr="00633F2B">
              <w:rPr>
                <w:rFonts w:ascii="Times New Roman" w:hAnsi="Times New Roman"/>
                <w:sz w:val="24"/>
                <w:szCs w:val="24"/>
                <w:lang w:val="ro-RO"/>
              </w:rPr>
              <w:t xml:space="preserve">stat. </w:t>
            </w:r>
          </w:p>
          <w:p w14:paraId="444F5BB1" w14:textId="77777777" w:rsidR="00633F2B" w:rsidRPr="00633F2B" w:rsidRDefault="00633F2B" w:rsidP="00633F2B">
            <w:pPr>
              <w:ind w:firstLine="606"/>
              <w:rPr>
                <w:rFonts w:ascii="Times New Roman" w:hAnsi="Times New Roman"/>
                <w:sz w:val="24"/>
                <w:szCs w:val="24"/>
                <w:lang w:val="ro-RO"/>
              </w:rPr>
            </w:pPr>
            <w:r w:rsidRPr="00633F2B">
              <w:rPr>
                <w:rFonts w:ascii="Times New Roman" w:hAnsi="Times New Roman"/>
                <w:sz w:val="24"/>
                <w:szCs w:val="24"/>
                <w:lang w:val="ro-RO"/>
              </w:rPr>
              <w:t xml:space="preserve">Respectarea cerințelor actului normativ propus, va genera costuri de conformare pentru furnizorii de apă, în partea ce ține de acoperirea cheltuielilor legate de efectuarea investigațiilor de laborator, precum și construcția/reabilitarea stațiilor de tratare a apei potabile în cazul când apa din surse nu corespunde prevederilor normative în vigoare. Costurile asociate supravegherii și monitorizării calității apei la parametrii microbiologici, </w:t>
            </w:r>
            <w:proofErr w:type="spellStart"/>
            <w:r w:rsidRPr="00633F2B">
              <w:rPr>
                <w:rFonts w:ascii="Times New Roman" w:hAnsi="Times New Roman"/>
                <w:sz w:val="24"/>
                <w:szCs w:val="24"/>
                <w:lang w:val="ro-RO"/>
              </w:rPr>
              <w:t>sanitaro</w:t>
            </w:r>
            <w:proofErr w:type="spellEnd"/>
            <w:r w:rsidRPr="00633F2B">
              <w:rPr>
                <w:rFonts w:ascii="Times New Roman" w:hAnsi="Times New Roman"/>
                <w:sz w:val="24"/>
                <w:szCs w:val="24"/>
                <w:lang w:val="ro-RO"/>
              </w:rPr>
              <w:t xml:space="preserve">-chimici, radiologici, planificarea cheltuielilor va fi una proporțională cu indicii monitorizării și acoperirea cheltuielilor pentru investigații de laborator în conformitate cu prevederile HG nr. 533 din 13.07.2011 cu privire la aprobarea Listei și tarifelor serviciilor contra cost din sfera sănătății publice prestate persoanelor fizice și juridice și variază în dependență de numărul și parametri investigați. </w:t>
            </w:r>
          </w:p>
          <w:p w14:paraId="29A837A5" w14:textId="0EDF1536" w:rsidR="00633F2B" w:rsidRPr="00633F2B" w:rsidRDefault="00633F2B" w:rsidP="00633F2B">
            <w:pPr>
              <w:ind w:firstLine="606"/>
              <w:rPr>
                <w:rFonts w:ascii="Times New Roman" w:hAnsi="Times New Roman"/>
                <w:sz w:val="24"/>
                <w:szCs w:val="24"/>
                <w:lang w:val="ro-RO"/>
              </w:rPr>
            </w:pPr>
            <w:r w:rsidRPr="00633F2B">
              <w:rPr>
                <w:rFonts w:ascii="Times New Roman" w:hAnsi="Times New Roman"/>
                <w:sz w:val="24"/>
                <w:szCs w:val="24"/>
                <w:lang w:val="ro-RO"/>
              </w:rPr>
              <w:lastRenderedPageBreak/>
              <w:t>Furnizorii de apă vor trebui să suporte costuri de monitorizare a calității apei potabile mai mari, pe seama parametrilor suplimentari introduși. Pe de altă parte, prin elaborarea și implementarea Planurilor de Siguranță ale Apei, chiar dacă pentru început acest demers presupune un efort de organizare, documentare, și posibil financiar, se va putea fundamenta reducerea frecvenței de prelevare și analiză a probelor de apă pentru o serie de parametri, sau chiar eliminarea unor</w:t>
            </w:r>
            <w:r>
              <w:rPr>
                <w:rFonts w:ascii="Times New Roman" w:hAnsi="Times New Roman"/>
                <w:sz w:val="24"/>
                <w:szCs w:val="24"/>
                <w:lang w:val="ro-RO"/>
              </w:rPr>
              <w:t xml:space="preserve"> </w:t>
            </w:r>
            <w:r w:rsidRPr="00633F2B">
              <w:rPr>
                <w:rFonts w:ascii="Times New Roman" w:hAnsi="Times New Roman"/>
                <w:sz w:val="24"/>
                <w:szCs w:val="24"/>
                <w:lang w:val="ro-RO"/>
              </w:rPr>
              <w:t>parametri din programele de monitorizare.</w:t>
            </w:r>
          </w:p>
          <w:p w14:paraId="4A2E6611" w14:textId="1F3D6E58" w:rsidR="00633F2B" w:rsidRDefault="00633F2B" w:rsidP="00633F2B">
            <w:pPr>
              <w:ind w:firstLine="606"/>
              <w:rPr>
                <w:rFonts w:ascii="Times New Roman" w:hAnsi="Times New Roman"/>
                <w:sz w:val="24"/>
                <w:szCs w:val="24"/>
                <w:lang w:val="ro-RO"/>
              </w:rPr>
            </w:pPr>
            <w:r w:rsidRPr="00633F2B">
              <w:rPr>
                <w:rFonts w:ascii="Times New Roman" w:hAnsi="Times New Roman"/>
                <w:sz w:val="24"/>
                <w:szCs w:val="24"/>
                <w:lang w:val="ro-RO"/>
              </w:rPr>
              <w:t>Costurile estimative pentru testarea tuturor parametrilor în cadrul monitorizării operaționale, constituie 1326 lei, iar pentru monitorizarea de audit 5880 lei, lista parametrilor și frecvențele pot varia în funcție de volumul de apă distribuit sau produs în fiecare zi în interiorul unei zone de aprovizionare.</w:t>
            </w:r>
          </w:p>
        </w:tc>
      </w:tr>
      <w:tr w:rsidR="003C442D" w14:paraId="1FC5214D"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39F4273" w14:textId="77777777" w:rsidR="003C442D" w:rsidRDefault="00346E38">
            <w:pPr>
              <w:rPr>
                <w:rFonts w:ascii="Times New Roman" w:hAnsi="Times New Roman"/>
                <w:sz w:val="24"/>
                <w:szCs w:val="24"/>
                <w:lang w:val="ro-RO"/>
              </w:rPr>
            </w:pPr>
            <w:r>
              <w:rPr>
                <w:rFonts w:ascii="Times New Roman" w:hAnsi="Times New Roman"/>
                <w:sz w:val="24"/>
                <w:szCs w:val="24"/>
                <w:lang w:val="ro-RO"/>
              </w:rPr>
              <w:lastRenderedPageBreak/>
              <w:t>4.3. Impactul asupra sectorului privat</w:t>
            </w:r>
          </w:p>
        </w:tc>
      </w:tr>
      <w:tr w:rsidR="003C442D" w:rsidRPr="00513F7E" w14:paraId="08852BC7"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89B538C" w14:textId="77777777" w:rsidR="003C442D" w:rsidRDefault="00346E38">
            <w:pPr>
              <w:rPr>
                <w:rFonts w:ascii="Times New Roman" w:hAnsi="Times New Roman"/>
                <w:sz w:val="24"/>
                <w:szCs w:val="24"/>
                <w:lang w:val="ro-RO"/>
              </w:rPr>
            </w:pPr>
            <w:r>
              <w:rPr>
                <w:rFonts w:ascii="Times New Roman" w:hAnsi="Times New Roman"/>
                <w:sz w:val="24"/>
                <w:szCs w:val="24"/>
                <w:lang w:val="ro-RO"/>
              </w:rPr>
              <w:t>4.4. Impactul social</w:t>
            </w:r>
          </w:p>
          <w:p w14:paraId="29E11420" w14:textId="77777777" w:rsidR="003C442D" w:rsidRDefault="00346E38">
            <w:pPr>
              <w:rPr>
                <w:rFonts w:ascii="Times New Roman" w:hAnsi="Times New Roman"/>
                <w:sz w:val="24"/>
                <w:szCs w:val="24"/>
                <w:lang w:val="ro-RO"/>
              </w:rPr>
            </w:pPr>
            <w:r>
              <w:rPr>
                <w:rFonts w:ascii="Times New Roman" w:hAnsi="Times New Roman"/>
                <w:sz w:val="24"/>
                <w:szCs w:val="24"/>
                <w:lang w:val="ro-RO"/>
              </w:rPr>
              <w:t>4.4.1. Impactul asupra datelor cu caracter personal</w:t>
            </w:r>
          </w:p>
          <w:p w14:paraId="3ACDE98A" w14:textId="77777777" w:rsidR="003C442D" w:rsidRDefault="00346E38">
            <w:pPr>
              <w:rPr>
                <w:rFonts w:ascii="Times New Roman" w:hAnsi="Times New Roman"/>
                <w:sz w:val="24"/>
                <w:szCs w:val="24"/>
                <w:lang w:val="ro-RO"/>
              </w:rPr>
            </w:pPr>
            <w:r>
              <w:rPr>
                <w:rFonts w:ascii="Times New Roman" w:hAnsi="Times New Roman"/>
                <w:sz w:val="24"/>
                <w:szCs w:val="24"/>
                <w:lang w:val="ro-RO"/>
              </w:rPr>
              <w:t>4.4.2. Impactul asupra echității și egalității de gen</w:t>
            </w:r>
          </w:p>
        </w:tc>
      </w:tr>
      <w:tr w:rsidR="003C442D" w14:paraId="5EF91320"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ED2032" w14:textId="77777777" w:rsidR="003C442D" w:rsidRDefault="00346E38">
            <w:pPr>
              <w:rPr>
                <w:rFonts w:ascii="Times New Roman" w:hAnsi="Times New Roman"/>
                <w:sz w:val="24"/>
                <w:szCs w:val="24"/>
                <w:lang w:val="ro-RO"/>
              </w:rPr>
            </w:pPr>
            <w:r>
              <w:rPr>
                <w:rFonts w:ascii="Times New Roman" w:hAnsi="Times New Roman"/>
                <w:sz w:val="24"/>
                <w:szCs w:val="24"/>
                <w:lang w:val="ro-RO"/>
              </w:rPr>
              <w:t>4.5. Impactul asupra mediului</w:t>
            </w:r>
          </w:p>
        </w:tc>
      </w:tr>
      <w:tr w:rsidR="003C442D" w:rsidRPr="00513F7E" w14:paraId="33BB9EF3"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45FA14C" w14:textId="77777777" w:rsidR="003C442D" w:rsidRDefault="00346E38">
            <w:pPr>
              <w:rPr>
                <w:rFonts w:ascii="Times New Roman" w:hAnsi="Times New Roman"/>
                <w:sz w:val="24"/>
                <w:szCs w:val="24"/>
                <w:lang w:val="ro-RO"/>
              </w:rPr>
            </w:pPr>
            <w:r>
              <w:rPr>
                <w:rFonts w:ascii="Times New Roman" w:hAnsi="Times New Roman"/>
                <w:sz w:val="24"/>
                <w:szCs w:val="24"/>
                <w:lang w:val="ro-RO"/>
              </w:rPr>
              <w:t>4.6. Alte impacturi și informații relevante</w:t>
            </w:r>
          </w:p>
        </w:tc>
      </w:tr>
      <w:tr w:rsidR="003C442D" w:rsidRPr="00513F7E" w14:paraId="50BC0A4B"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CDAEEA" w14:textId="77777777" w:rsidR="003C442D" w:rsidRDefault="00346E38">
            <w:pPr>
              <w:rPr>
                <w:rFonts w:ascii="Times New Roman" w:hAnsi="Times New Roman"/>
                <w:sz w:val="24"/>
                <w:szCs w:val="24"/>
                <w:lang w:val="ro-RO"/>
              </w:rPr>
            </w:pPr>
            <w:r>
              <w:rPr>
                <w:rFonts w:ascii="Times New Roman" w:hAnsi="Times New Roman"/>
                <w:sz w:val="24"/>
                <w:szCs w:val="24"/>
                <w:lang w:val="ro-RO"/>
              </w:rPr>
              <w:t xml:space="preserve"> </w:t>
            </w:r>
          </w:p>
        </w:tc>
      </w:tr>
      <w:tr w:rsidR="003C442D" w:rsidRPr="00513F7E" w14:paraId="33E70B2A"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8E3BD6E"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 xml:space="preserve">5. Compatibilitatea proiectului actului normativ cu legislația UE </w:t>
            </w:r>
          </w:p>
        </w:tc>
      </w:tr>
      <w:tr w:rsidR="003C442D" w:rsidRPr="00513F7E" w14:paraId="4FA534CA"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505FE9" w14:textId="77777777" w:rsidR="000E3FCF" w:rsidRDefault="00346E38" w:rsidP="000E3FCF">
            <w:pPr>
              <w:rPr>
                <w:rFonts w:ascii="Times New Roman" w:hAnsi="Times New Roman"/>
                <w:sz w:val="24"/>
                <w:szCs w:val="24"/>
                <w:lang w:val="ro-RO"/>
              </w:rPr>
            </w:pPr>
            <w:r>
              <w:rPr>
                <w:rFonts w:ascii="Times New Roman" w:hAnsi="Times New Roman"/>
                <w:sz w:val="24"/>
                <w:szCs w:val="24"/>
                <w:lang w:val="ro-RO"/>
              </w:rPr>
              <w:t>5.1. Măsuri normative necesare pentru transpunerea actelor juridice ale UE în legislația națională</w:t>
            </w:r>
            <w:r w:rsidR="000E3FCF">
              <w:rPr>
                <w:rFonts w:ascii="Times New Roman" w:hAnsi="Times New Roman"/>
                <w:sz w:val="24"/>
                <w:szCs w:val="24"/>
                <w:lang w:val="ro-RO"/>
              </w:rPr>
              <w:t>.</w:t>
            </w:r>
          </w:p>
          <w:p w14:paraId="14623532" w14:textId="77777777" w:rsidR="00511074" w:rsidRDefault="00511074" w:rsidP="00D20733">
            <w:pPr>
              <w:rPr>
                <w:rFonts w:ascii="Times New Roman" w:eastAsia="Times New Roman" w:hAnsi="Times New Roman"/>
                <w:sz w:val="24"/>
                <w:szCs w:val="24"/>
                <w:lang w:val="ro-RO" w:eastAsia="ro-RO"/>
              </w:rPr>
            </w:pPr>
          </w:p>
          <w:p w14:paraId="41A41ACE" w14:textId="0FC2EA8C" w:rsidR="00511074" w:rsidRPr="008E4B92" w:rsidRDefault="0057267D" w:rsidP="008E4B92">
            <w:pPr>
              <w:rPr>
                <w:rFonts w:ascii="Times New Roman" w:hAnsi="Times New Roman"/>
                <w:sz w:val="24"/>
                <w:szCs w:val="24"/>
                <w:lang w:val="pt-PT"/>
              </w:rPr>
            </w:pPr>
            <w:r w:rsidRPr="008E4B92">
              <w:rPr>
                <w:rFonts w:ascii="Times New Roman" w:hAnsi="Times New Roman"/>
                <w:sz w:val="24"/>
                <w:szCs w:val="24"/>
                <w:lang w:val="pt-PT"/>
              </w:rPr>
              <w:t>În conformitate cu art. 31 din Legea nr. 100/2017, a fost întocmit tabelul de concordanță, gradul general de compatibilitate a proiectul hotărârii de Guvern cu actul juridic UE fiind stabilit „</w:t>
            </w:r>
            <w:r w:rsidR="008E4B92">
              <w:rPr>
                <w:rFonts w:ascii="Times New Roman" w:hAnsi="Times New Roman"/>
                <w:sz w:val="24"/>
                <w:szCs w:val="24"/>
                <w:lang w:val="pt-PT"/>
              </w:rPr>
              <w:t xml:space="preserve">parțial </w:t>
            </w:r>
            <w:r w:rsidRPr="008E4B92">
              <w:rPr>
                <w:rFonts w:ascii="Times New Roman" w:hAnsi="Times New Roman"/>
                <w:sz w:val="24"/>
                <w:szCs w:val="24"/>
                <w:lang w:val="pt-PT"/>
              </w:rPr>
              <w:t>compatibil”</w:t>
            </w:r>
            <w:r w:rsidR="008E4B92">
              <w:rPr>
                <w:rFonts w:ascii="Times New Roman" w:hAnsi="Times New Roman"/>
                <w:sz w:val="24"/>
                <w:szCs w:val="24"/>
                <w:lang w:val="pt-PT"/>
              </w:rPr>
              <w:t>.</w:t>
            </w:r>
          </w:p>
        </w:tc>
      </w:tr>
      <w:tr w:rsidR="003C442D" w:rsidRPr="003E2D3A" w14:paraId="2E399EF2"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FE70F10" w14:textId="05B55856" w:rsidR="00A72627" w:rsidRPr="00513F7E" w:rsidRDefault="00346E38" w:rsidP="00513F7E">
            <w:pPr>
              <w:rPr>
                <w:rFonts w:ascii="Times New Roman" w:hAnsi="Times New Roman"/>
                <w:sz w:val="24"/>
                <w:szCs w:val="24"/>
                <w:lang w:val="ro-RO"/>
              </w:rPr>
            </w:pPr>
            <w:r w:rsidRPr="008E4B92">
              <w:rPr>
                <w:rFonts w:ascii="Times New Roman" w:hAnsi="Times New Roman"/>
                <w:sz w:val="24"/>
                <w:szCs w:val="24"/>
                <w:lang w:val="ro-RO"/>
              </w:rPr>
              <w:t>5.2. Măsuri normative care urmăresc crearea cadrului juridic intern necesar pentru implementarea legislației UE</w:t>
            </w:r>
            <w:r w:rsidR="0057267D" w:rsidRPr="008E4B92">
              <w:rPr>
                <w:rFonts w:ascii="Times New Roman" w:hAnsi="Times New Roman"/>
                <w:sz w:val="24"/>
                <w:szCs w:val="24"/>
                <w:lang w:val="ro-RO"/>
              </w:rPr>
              <w:t xml:space="preserve"> </w:t>
            </w:r>
          </w:p>
        </w:tc>
      </w:tr>
      <w:tr w:rsidR="003C442D" w:rsidRPr="003E2D3A" w14:paraId="7D4953BF"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93845A" w14:textId="190A7D87" w:rsidR="003C442D" w:rsidRPr="00513F7E" w:rsidRDefault="003C442D" w:rsidP="00513F7E">
            <w:pPr>
              <w:ind w:firstLine="0"/>
              <w:rPr>
                <w:rFonts w:ascii="Times New Roman" w:hAnsi="Times New Roman"/>
                <w:sz w:val="8"/>
                <w:szCs w:val="8"/>
                <w:lang w:val="ro-RO"/>
              </w:rPr>
            </w:pPr>
          </w:p>
        </w:tc>
      </w:tr>
      <w:tr w:rsidR="003C442D" w:rsidRPr="00513F7E" w14:paraId="1578D7D0"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11ECBB0"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6. Avizarea și consultarea publică a proiectului actului normativ</w:t>
            </w:r>
          </w:p>
        </w:tc>
      </w:tr>
      <w:tr w:rsidR="003C442D" w:rsidRPr="00513F7E" w14:paraId="77EDD7BA"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1FB3B1" w14:textId="169B764A" w:rsidR="00513F7E" w:rsidRDefault="00A87F52" w:rsidP="0024743B">
            <w:pPr>
              <w:pStyle w:val="Frspaiere"/>
              <w:ind w:firstLine="0"/>
              <w:rPr>
                <w:lang w:val="ro-RO"/>
              </w:rPr>
            </w:pPr>
            <w:r>
              <w:rPr>
                <w:rFonts w:ascii="Times New Roman" w:hAnsi="Times New Roman"/>
                <w:sz w:val="24"/>
                <w:szCs w:val="24"/>
                <w:lang w:val="ro-RO"/>
              </w:rPr>
              <w:t xml:space="preserve">           </w:t>
            </w:r>
            <w:r w:rsidR="00D46A9F" w:rsidRPr="00733DB2">
              <w:rPr>
                <w:rFonts w:ascii="Times New Roman" w:hAnsi="Times New Roman"/>
                <w:sz w:val="24"/>
                <w:szCs w:val="24"/>
                <w:lang w:val="ro-RO"/>
              </w:rPr>
              <w:t>În scopul respectării prevederilor Legii nr. 239/2008 privind transparența în procesul decizional, anunțul privind inițierea procesului de elaborare a Proiectului Hotărârii Guvernului a fost plasat pe pagina web oficială a Ministerului Sănătății, compartimentul „Transparență, Anunțuri/Proiecte supuse consultărilor publice” și pe portalul guvernamental</w:t>
            </w:r>
            <w:r w:rsidR="00513F7E">
              <w:rPr>
                <w:rFonts w:ascii="Times New Roman" w:hAnsi="Times New Roman"/>
                <w:sz w:val="24"/>
                <w:szCs w:val="24"/>
                <w:lang w:val="ro-RO"/>
              </w:rPr>
              <w:t>.</w:t>
            </w:r>
          </w:p>
          <w:p w14:paraId="4E97AAB1" w14:textId="01F3EC1A" w:rsidR="0024743B" w:rsidRPr="00733DB2" w:rsidRDefault="00513F7E" w:rsidP="0024743B">
            <w:pPr>
              <w:pStyle w:val="Frspaiere"/>
              <w:ind w:firstLine="0"/>
              <w:rPr>
                <w:rFonts w:ascii="Times New Roman" w:hAnsi="Times New Roman"/>
                <w:sz w:val="24"/>
                <w:szCs w:val="24"/>
                <w:lang w:val="ro-RO"/>
              </w:rPr>
            </w:pPr>
            <w:hyperlink r:id="rId11" w:history="1">
              <w:r w:rsidRPr="006D6E84">
                <w:rPr>
                  <w:rStyle w:val="Hyperlink"/>
                  <w:sz w:val="24"/>
                  <w:szCs w:val="24"/>
                  <w:lang w:val="ro-RO"/>
                </w:rPr>
                <w:t>https://particip.gov.md/ro/document/stages/ministerul-sanatatii-anunta-initierea-elaborarii-proiectului-pentru-modificarea-legii-nr1822019-privind-calitatea-apei-potabile/12715</w:t>
              </w:r>
            </w:hyperlink>
          </w:p>
          <w:p w14:paraId="57FBF4DE" w14:textId="5F147BA6" w:rsidR="003C442D" w:rsidRDefault="00A87F52" w:rsidP="00A87F52">
            <w:pPr>
              <w:ind w:firstLine="0"/>
              <w:rPr>
                <w:rFonts w:ascii="Times New Roman" w:hAnsi="Times New Roman"/>
                <w:sz w:val="24"/>
                <w:szCs w:val="24"/>
                <w:lang w:val="ro-RO"/>
              </w:rPr>
            </w:pPr>
            <w:r>
              <w:rPr>
                <w:rFonts w:ascii="Times New Roman" w:hAnsi="Times New Roman"/>
                <w:sz w:val="24"/>
                <w:szCs w:val="24"/>
                <w:lang w:val="ro-RO"/>
              </w:rPr>
              <w:t xml:space="preserve">          </w:t>
            </w:r>
            <w:r w:rsidR="00D46A9F" w:rsidRPr="00206117">
              <w:rPr>
                <w:rFonts w:ascii="Times New Roman" w:hAnsi="Times New Roman"/>
                <w:sz w:val="24"/>
                <w:szCs w:val="24"/>
                <w:lang w:val="ro-RO"/>
              </w:rPr>
              <w:t>Respectând prevederile Legii nr. 239/2008 privind transparența decizională vor fi organizate consultări publice cu participarea mediului de afaceri.</w:t>
            </w:r>
          </w:p>
        </w:tc>
      </w:tr>
      <w:tr w:rsidR="003C442D" w14:paraId="33573DF5"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79F274"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7. Concluziile expertizelor</w:t>
            </w:r>
          </w:p>
        </w:tc>
      </w:tr>
      <w:tr w:rsidR="003C442D" w:rsidRPr="00513F7E" w14:paraId="1197EAD6"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1CF5B52" w14:textId="445CF9F7" w:rsidR="003C442D" w:rsidRDefault="00D46A9F">
            <w:pPr>
              <w:rPr>
                <w:rFonts w:ascii="Times New Roman" w:hAnsi="Times New Roman"/>
                <w:b/>
                <w:bCs/>
                <w:sz w:val="24"/>
                <w:szCs w:val="24"/>
                <w:lang w:val="ro-RO"/>
              </w:rPr>
            </w:pPr>
            <w:r w:rsidRPr="00D46A9F">
              <w:rPr>
                <w:rFonts w:ascii="Times New Roman" w:hAnsi="Times New Roman"/>
                <w:sz w:val="24"/>
                <w:szCs w:val="24"/>
                <w:lang w:val="pt-PT"/>
              </w:rPr>
              <w:t>Proiectul va fi supus expertizei anticorupție de către Centrul Național Anticorupție.</w:t>
            </w:r>
            <w:r>
              <w:rPr>
                <w:rFonts w:ascii="Times New Roman" w:hAnsi="Times New Roman"/>
                <w:b/>
                <w:bCs/>
                <w:sz w:val="24"/>
                <w:szCs w:val="24"/>
                <w:lang w:val="ro-RO"/>
              </w:rPr>
              <w:t xml:space="preserve"> </w:t>
            </w:r>
          </w:p>
          <w:p w14:paraId="5730C83E" w14:textId="192753AC" w:rsidR="00D46A9F" w:rsidRDefault="00D46A9F">
            <w:pPr>
              <w:rPr>
                <w:rFonts w:ascii="Times New Roman" w:hAnsi="Times New Roman"/>
                <w:sz w:val="24"/>
                <w:szCs w:val="24"/>
                <w:lang w:val="pt-PT"/>
              </w:rPr>
            </w:pPr>
            <w:r w:rsidRPr="00D46A9F">
              <w:rPr>
                <w:rFonts w:ascii="Times New Roman" w:hAnsi="Times New Roman"/>
                <w:sz w:val="24"/>
                <w:szCs w:val="24"/>
                <w:lang w:val="pt-PT"/>
              </w:rPr>
              <w:t xml:space="preserve">Proiectul va fi supus expertizei de compatibilitate de către </w:t>
            </w:r>
            <w:r w:rsidRPr="00D46A9F">
              <w:rPr>
                <w:rFonts w:ascii="Times New Roman" w:hAnsi="Times New Roman"/>
                <w:sz w:val="24"/>
                <w:szCs w:val="24"/>
                <w:lang w:val="pt-PT" w:eastAsia="zh-CN"/>
              </w:rPr>
              <w:t>Centrul de Armonizare a Legislației</w:t>
            </w:r>
            <w:r w:rsidRPr="00D46A9F">
              <w:rPr>
                <w:rFonts w:ascii="Times New Roman" w:hAnsi="Times New Roman"/>
                <w:sz w:val="24"/>
                <w:szCs w:val="24"/>
                <w:lang w:val="pt-PT"/>
              </w:rPr>
              <w:t>.</w:t>
            </w:r>
          </w:p>
          <w:p w14:paraId="34F0B68C" w14:textId="67E15B8E" w:rsidR="00D46A9F" w:rsidRPr="0024743B" w:rsidRDefault="00D46A9F" w:rsidP="0024743B">
            <w:pPr>
              <w:rPr>
                <w:rFonts w:ascii="Times New Roman" w:hAnsi="Times New Roman"/>
                <w:b/>
                <w:bCs/>
                <w:sz w:val="24"/>
                <w:szCs w:val="24"/>
                <w:lang w:val="pt-PT"/>
              </w:rPr>
            </w:pPr>
            <w:r w:rsidRPr="00D46A9F">
              <w:rPr>
                <w:rFonts w:ascii="Times New Roman" w:hAnsi="Times New Roman"/>
                <w:sz w:val="24"/>
                <w:szCs w:val="24"/>
                <w:lang w:val="pt-PT"/>
              </w:rPr>
              <w:t>În scopul respectării art. 34 și 37 din Legea nr. 100/2017 cu privire la actele normative, proiectul de hotărâre va fi supus expertizei juridice.</w:t>
            </w:r>
          </w:p>
        </w:tc>
      </w:tr>
      <w:tr w:rsidR="003C442D" w:rsidRPr="00513F7E" w14:paraId="2BFBD3E6"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C18BC48"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8. Modul de încorporare a actului în cadrul normativ existent</w:t>
            </w:r>
          </w:p>
        </w:tc>
      </w:tr>
      <w:tr w:rsidR="003C442D" w:rsidRPr="00513F7E" w14:paraId="5FEF2217"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FCEBCD" w14:textId="0E4E2B57" w:rsidR="00AF24BB" w:rsidRPr="0024743B" w:rsidRDefault="0024743B" w:rsidP="0024743B">
            <w:pPr>
              <w:ind w:firstLine="0"/>
              <w:rPr>
                <w:rFonts w:ascii="Times New Roman" w:hAnsi="Times New Roman"/>
                <w:sz w:val="24"/>
                <w:szCs w:val="24"/>
                <w:lang w:val="ro-RO"/>
              </w:rPr>
            </w:pPr>
            <w:r>
              <w:rPr>
                <w:rFonts w:ascii="Times New Roman" w:hAnsi="Times New Roman"/>
                <w:sz w:val="24"/>
                <w:szCs w:val="24"/>
                <w:lang w:val="ro-RO"/>
              </w:rPr>
              <w:t xml:space="preserve">            </w:t>
            </w:r>
            <w:r w:rsidRPr="0024743B">
              <w:rPr>
                <w:rFonts w:ascii="Times New Roman" w:hAnsi="Times New Roman"/>
                <w:sz w:val="24"/>
                <w:szCs w:val="24"/>
                <w:lang w:val="ro-RO"/>
              </w:rPr>
              <w:t>Aprobarea proiectului nu necesită modificarea altor acte normative.</w:t>
            </w:r>
          </w:p>
        </w:tc>
      </w:tr>
      <w:tr w:rsidR="003C442D" w:rsidRPr="00513F7E" w14:paraId="185D1B41"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3FBA7B1" w14:textId="77777777" w:rsidR="003C442D" w:rsidRDefault="00346E38">
            <w:pPr>
              <w:rPr>
                <w:rFonts w:ascii="Times New Roman" w:hAnsi="Times New Roman"/>
                <w:b/>
                <w:bCs/>
                <w:sz w:val="24"/>
                <w:szCs w:val="24"/>
                <w:lang w:val="ro-RO"/>
              </w:rPr>
            </w:pPr>
            <w:r>
              <w:rPr>
                <w:rFonts w:ascii="Times New Roman" w:hAnsi="Times New Roman"/>
                <w:b/>
                <w:bCs/>
                <w:sz w:val="24"/>
                <w:szCs w:val="24"/>
                <w:lang w:val="ro-RO"/>
              </w:rPr>
              <w:t>9. Măsurile necesare pentru implementarea prevederilor proiectului actului normativ</w:t>
            </w:r>
          </w:p>
        </w:tc>
      </w:tr>
      <w:tr w:rsidR="003C442D" w:rsidRPr="00513F7E" w14:paraId="49208E60"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3E004" w14:textId="77777777" w:rsidR="00147FB1" w:rsidRPr="00FA7A50" w:rsidRDefault="00346E38" w:rsidP="00147FB1">
            <w:pPr>
              <w:pStyle w:val="Textcomentariu"/>
              <w:tabs>
                <w:tab w:val="left" w:pos="9788"/>
              </w:tabs>
              <w:ind w:firstLine="744"/>
              <w:rPr>
                <w:rFonts w:ascii="Times New Roman" w:hAnsi="Times New Roman"/>
                <w:sz w:val="24"/>
                <w:szCs w:val="24"/>
                <w:lang w:val="ro-MD"/>
              </w:rPr>
            </w:pPr>
            <w:r>
              <w:rPr>
                <w:rFonts w:ascii="Times New Roman" w:hAnsi="Times New Roman"/>
                <w:sz w:val="24"/>
                <w:szCs w:val="24"/>
              </w:rPr>
              <w:t xml:space="preserve"> </w:t>
            </w:r>
            <w:r w:rsidR="00147FB1" w:rsidRPr="00FA7A50">
              <w:rPr>
                <w:rFonts w:ascii="Times New Roman" w:hAnsi="Times New Roman"/>
                <w:sz w:val="24"/>
                <w:szCs w:val="24"/>
                <w:lang w:val="ro-MD"/>
              </w:rPr>
              <w:t>Implementarea opțiunii recomandate presupune anumite măsuri organizatorice și juridice pentru a asigura succesul intervenției:</w:t>
            </w:r>
          </w:p>
          <w:p w14:paraId="46EB3A18" w14:textId="6138B150" w:rsidR="003C442D" w:rsidRDefault="003C442D" w:rsidP="00147FB1">
            <w:pPr>
              <w:rPr>
                <w:rFonts w:ascii="Times New Roman" w:hAnsi="Times New Roman"/>
                <w:sz w:val="24"/>
                <w:szCs w:val="24"/>
                <w:lang w:val="ro-RO"/>
              </w:rPr>
            </w:pPr>
          </w:p>
        </w:tc>
      </w:tr>
    </w:tbl>
    <w:p w14:paraId="2E232894" w14:textId="77777777" w:rsidR="00A72627" w:rsidRDefault="00A72627" w:rsidP="00633F2B">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6BD13C38" w14:textId="77777777" w:rsidR="00016556" w:rsidRDefault="00016556">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AFACA58" w14:textId="3050F516" w:rsidR="003C442D" w:rsidRDefault="003C442D" w:rsidP="003E2D3A">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3C442D" w:rsidSect="00E853B9">
      <w:headerReference w:type="default" r:id="rId12"/>
      <w:headerReference w:type="first" r:id="rId13"/>
      <w:pgSz w:w="11907" w:h="16840" w:orient="landscape"/>
      <w:pgMar w:top="1418" w:right="567" w:bottom="1418" w:left="156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2B32" w14:textId="77777777" w:rsidR="00795FD0" w:rsidRDefault="00795FD0">
      <w:r>
        <w:separator/>
      </w:r>
    </w:p>
  </w:endnote>
  <w:endnote w:type="continuationSeparator" w:id="0">
    <w:p w14:paraId="3C2B6ED4" w14:textId="77777777" w:rsidR="00795FD0" w:rsidRDefault="0079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81E1" w14:textId="77777777" w:rsidR="00795FD0" w:rsidRDefault="00795FD0">
      <w:r>
        <w:separator/>
      </w:r>
    </w:p>
  </w:footnote>
  <w:footnote w:type="continuationSeparator" w:id="0">
    <w:p w14:paraId="389BD735" w14:textId="77777777" w:rsidR="00795FD0" w:rsidRDefault="0079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A642" w14:textId="77777777" w:rsidR="003C442D" w:rsidRDefault="003C442D">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141D" w14:textId="77777777" w:rsidR="003C442D" w:rsidRDefault="003C442D">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CD0"/>
    <w:multiLevelType w:val="multilevel"/>
    <w:tmpl w:val="4D5C4F20"/>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7025F9"/>
    <w:multiLevelType w:val="multilevel"/>
    <w:tmpl w:val="D9760586"/>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2C333EC"/>
    <w:multiLevelType w:val="multilevel"/>
    <w:tmpl w:val="285CD6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BD484E"/>
    <w:multiLevelType w:val="multilevel"/>
    <w:tmpl w:val="18A60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17F22"/>
    <w:multiLevelType w:val="multilevel"/>
    <w:tmpl w:val="2804653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1138F7"/>
    <w:multiLevelType w:val="multilevel"/>
    <w:tmpl w:val="162E33A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55023C"/>
    <w:multiLevelType w:val="multilevel"/>
    <w:tmpl w:val="C03C3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5B0293"/>
    <w:multiLevelType w:val="multilevel"/>
    <w:tmpl w:val="DAEE590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13525E3B"/>
    <w:multiLevelType w:val="multilevel"/>
    <w:tmpl w:val="7F02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70B28"/>
    <w:multiLevelType w:val="multilevel"/>
    <w:tmpl w:val="680E57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537E93"/>
    <w:multiLevelType w:val="multilevel"/>
    <w:tmpl w:val="5DC4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550F"/>
    <w:multiLevelType w:val="multilevel"/>
    <w:tmpl w:val="D390C0D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7249FE"/>
    <w:multiLevelType w:val="multilevel"/>
    <w:tmpl w:val="9356EC9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267476F5"/>
    <w:multiLevelType w:val="multilevel"/>
    <w:tmpl w:val="DDC6B38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50425"/>
    <w:multiLevelType w:val="multilevel"/>
    <w:tmpl w:val="5EDCBA7A"/>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104926"/>
    <w:multiLevelType w:val="multilevel"/>
    <w:tmpl w:val="14BA9F5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1A2F4F"/>
    <w:multiLevelType w:val="multilevel"/>
    <w:tmpl w:val="4AD05BC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B8B3D02"/>
    <w:multiLevelType w:val="multilevel"/>
    <w:tmpl w:val="6AC805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D75FA"/>
    <w:multiLevelType w:val="hybridMultilevel"/>
    <w:tmpl w:val="4FB2B772"/>
    <w:lvl w:ilvl="0" w:tplc="0419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9" w15:restartNumberingAfterBreak="0">
    <w:nsid w:val="304337EF"/>
    <w:multiLevelType w:val="multilevel"/>
    <w:tmpl w:val="F104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4471BF"/>
    <w:multiLevelType w:val="multilevel"/>
    <w:tmpl w:val="0E02E22A"/>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5461F6"/>
    <w:multiLevelType w:val="multilevel"/>
    <w:tmpl w:val="CC209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B54D0D"/>
    <w:multiLevelType w:val="multilevel"/>
    <w:tmpl w:val="86F2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A3452"/>
    <w:multiLevelType w:val="multilevel"/>
    <w:tmpl w:val="BC604C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5F313F"/>
    <w:multiLevelType w:val="multilevel"/>
    <w:tmpl w:val="1AE6408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3A5B733A"/>
    <w:multiLevelType w:val="multilevel"/>
    <w:tmpl w:val="80F476A2"/>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0471E2D"/>
    <w:multiLevelType w:val="multilevel"/>
    <w:tmpl w:val="D84E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3371F2"/>
    <w:multiLevelType w:val="multilevel"/>
    <w:tmpl w:val="37F64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C5F05"/>
    <w:multiLevelType w:val="multilevel"/>
    <w:tmpl w:val="3FBED11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C38348E"/>
    <w:multiLevelType w:val="multilevel"/>
    <w:tmpl w:val="D19285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814030"/>
    <w:multiLevelType w:val="multilevel"/>
    <w:tmpl w:val="76807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0703F"/>
    <w:multiLevelType w:val="multilevel"/>
    <w:tmpl w:val="D0CCD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D2276"/>
    <w:multiLevelType w:val="hybridMultilevel"/>
    <w:tmpl w:val="6B54F518"/>
    <w:lvl w:ilvl="0" w:tplc="041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3" w15:restartNumberingAfterBreak="0">
    <w:nsid w:val="58D94703"/>
    <w:multiLevelType w:val="multilevel"/>
    <w:tmpl w:val="199614A4"/>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95575B"/>
    <w:multiLevelType w:val="multilevel"/>
    <w:tmpl w:val="0054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2167B2"/>
    <w:multiLevelType w:val="multilevel"/>
    <w:tmpl w:val="BA5AA76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15:restartNumberingAfterBreak="0">
    <w:nsid w:val="62883FF1"/>
    <w:multiLevelType w:val="multilevel"/>
    <w:tmpl w:val="7BEA38F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3DF1B49"/>
    <w:multiLevelType w:val="multilevel"/>
    <w:tmpl w:val="0FF2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872FC"/>
    <w:multiLevelType w:val="multilevel"/>
    <w:tmpl w:val="1AFA632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FF4BBC"/>
    <w:multiLevelType w:val="multilevel"/>
    <w:tmpl w:val="7D96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ED4DA0"/>
    <w:multiLevelType w:val="multilevel"/>
    <w:tmpl w:val="645E0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27E20"/>
    <w:multiLevelType w:val="multilevel"/>
    <w:tmpl w:val="B89603F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3930FF"/>
    <w:multiLevelType w:val="multilevel"/>
    <w:tmpl w:val="CEA08DAE"/>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551F41"/>
    <w:multiLevelType w:val="hybridMultilevel"/>
    <w:tmpl w:val="46A455E0"/>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673A20"/>
    <w:multiLevelType w:val="multilevel"/>
    <w:tmpl w:val="4198CC5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C00D7A"/>
    <w:multiLevelType w:val="multilevel"/>
    <w:tmpl w:val="4AF02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7A62F5"/>
    <w:multiLevelType w:val="multilevel"/>
    <w:tmpl w:val="47C26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912CCD"/>
    <w:multiLevelType w:val="multilevel"/>
    <w:tmpl w:val="EE70FF5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967B83"/>
    <w:multiLevelType w:val="multilevel"/>
    <w:tmpl w:val="3D380F4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2D6D14"/>
    <w:multiLevelType w:val="multilevel"/>
    <w:tmpl w:val="C1AC63A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2786123">
    <w:abstractNumId w:val="44"/>
  </w:num>
  <w:num w:numId="2" w16cid:durableId="531113267">
    <w:abstractNumId w:val="29"/>
  </w:num>
  <w:num w:numId="3" w16cid:durableId="2001955693">
    <w:abstractNumId w:val="9"/>
  </w:num>
  <w:num w:numId="4" w16cid:durableId="2052219451">
    <w:abstractNumId w:val="6"/>
  </w:num>
  <w:num w:numId="5" w16cid:durableId="872234266">
    <w:abstractNumId w:val="0"/>
  </w:num>
  <w:num w:numId="6" w16cid:durableId="1583174421">
    <w:abstractNumId w:val="46"/>
  </w:num>
  <w:num w:numId="7" w16cid:durableId="1141266310">
    <w:abstractNumId w:val="21"/>
  </w:num>
  <w:num w:numId="8" w16cid:durableId="1697384891">
    <w:abstractNumId w:val="3"/>
  </w:num>
  <w:num w:numId="9" w16cid:durableId="1395010128">
    <w:abstractNumId w:val="2"/>
  </w:num>
  <w:num w:numId="10" w16cid:durableId="5442408">
    <w:abstractNumId w:val="36"/>
  </w:num>
  <w:num w:numId="11" w16cid:durableId="625740664">
    <w:abstractNumId w:val="7"/>
  </w:num>
  <w:num w:numId="12" w16cid:durableId="157500161">
    <w:abstractNumId w:val="15"/>
  </w:num>
  <w:num w:numId="13" w16cid:durableId="277031820">
    <w:abstractNumId w:val="41"/>
  </w:num>
  <w:num w:numId="14" w16cid:durableId="2110200160">
    <w:abstractNumId w:val="23"/>
  </w:num>
  <w:num w:numId="15" w16cid:durableId="45572690">
    <w:abstractNumId w:val="24"/>
  </w:num>
  <w:num w:numId="16" w16cid:durableId="766390404">
    <w:abstractNumId w:val="14"/>
  </w:num>
  <w:num w:numId="17" w16cid:durableId="759326928">
    <w:abstractNumId w:val="33"/>
  </w:num>
  <w:num w:numId="18" w16cid:durableId="201092017">
    <w:abstractNumId w:val="13"/>
  </w:num>
  <w:num w:numId="19" w16cid:durableId="171334242">
    <w:abstractNumId w:val="28"/>
  </w:num>
  <w:num w:numId="20" w16cid:durableId="540410313">
    <w:abstractNumId w:val="11"/>
  </w:num>
  <w:num w:numId="21" w16cid:durableId="1033462502">
    <w:abstractNumId w:val="42"/>
  </w:num>
  <w:num w:numId="22" w16cid:durableId="1745685056">
    <w:abstractNumId w:val="17"/>
  </w:num>
  <w:num w:numId="23" w16cid:durableId="1286082900">
    <w:abstractNumId w:val="22"/>
  </w:num>
  <w:num w:numId="24" w16cid:durableId="250746013">
    <w:abstractNumId w:val="30"/>
  </w:num>
  <w:num w:numId="25" w16cid:durableId="1298419090">
    <w:abstractNumId w:val="10"/>
  </w:num>
  <w:num w:numId="26" w16cid:durableId="1731922256">
    <w:abstractNumId w:val="40"/>
  </w:num>
  <w:num w:numId="27" w16cid:durableId="898054886">
    <w:abstractNumId w:val="5"/>
  </w:num>
  <w:num w:numId="28" w16cid:durableId="148324159">
    <w:abstractNumId w:val="20"/>
    <w:lvlOverride w:ilvl="0">
      <w:startOverride w:val="1"/>
    </w:lvlOverride>
  </w:num>
  <w:num w:numId="29" w16cid:durableId="2076196312">
    <w:abstractNumId w:val="48"/>
  </w:num>
  <w:num w:numId="30" w16cid:durableId="321740855">
    <w:abstractNumId w:val="49"/>
  </w:num>
  <w:num w:numId="31" w16cid:durableId="925770306">
    <w:abstractNumId w:val="47"/>
  </w:num>
  <w:num w:numId="32" w16cid:durableId="309870542">
    <w:abstractNumId w:val="20"/>
  </w:num>
  <w:num w:numId="33" w16cid:durableId="2044943448">
    <w:abstractNumId w:val="45"/>
  </w:num>
  <w:num w:numId="34" w16cid:durableId="1759980908">
    <w:abstractNumId w:val="31"/>
  </w:num>
  <w:num w:numId="35" w16cid:durableId="1785927633">
    <w:abstractNumId w:val="37"/>
  </w:num>
  <w:num w:numId="36" w16cid:durableId="197091984">
    <w:abstractNumId w:val="27"/>
  </w:num>
  <w:num w:numId="37" w16cid:durableId="2118135925">
    <w:abstractNumId w:val="38"/>
  </w:num>
  <w:num w:numId="38" w16cid:durableId="570653880">
    <w:abstractNumId w:val="4"/>
  </w:num>
  <w:num w:numId="39" w16cid:durableId="425152130">
    <w:abstractNumId w:val="12"/>
  </w:num>
  <w:num w:numId="40" w16cid:durableId="901520565">
    <w:abstractNumId w:val="35"/>
  </w:num>
  <w:num w:numId="41" w16cid:durableId="1611086323">
    <w:abstractNumId w:val="1"/>
  </w:num>
  <w:num w:numId="42" w16cid:durableId="1364087621">
    <w:abstractNumId w:val="16"/>
  </w:num>
  <w:num w:numId="43" w16cid:durableId="1771393513">
    <w:abstractNumId w:val="25"/>
  </w:num>
  <w:num w:numId="44" w16cid:durableId="2133595930">
    <w:abstractNumId w:val="39"/>
  </w:num>
  <w:num w:numId="45" w16cid:durableId="1370645570">
    <w:abstractNumId w:val="18"/>
  </w:num>
  <w:num w:numId="46" w16cid:durableId="1681079865">
    <w:abstractNumId w:val="32"/>
  </w:num>
  <w:num w:numId="47" w16cid:durableId="1652830836">
    <w:abstractNumId w:val="8"/>
  </w:num>
  <w:num w:numId="48" w16cid:durableId="211353877">
    <w:abstractNumId w:val="34"/>
  </w:num>
  <w:num w:numId="49" w16cid:durableId="445195065">
    <w:abstractNumId w:val="26"/>
  </w:num>
  <w:num w:numId="50" w16cid:durableId="302349750">
    <w:abstractNumId w:val="43"/>
  </w:num>
  <w:num w:numId="51" w16cid:durableId="1567035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2D"/>
    <w:rsid w:val="00016556"/>
    <w:rsid w:val="00055FCB"/>
    <w:rsid w:val="000E3FCF"/>
    <w:rsid w:val="00136A10"/>
    <w:rsid w:val="00147FB1"/>
    <w:rsid w:val="001F0350"/>
    <w:rsid w:val="00203674"/>
    <w:rsid w:val="0022390A"/>
    <w:rsid w:val="0024743B"/>
    <w:rsid w:val="00287ED4"/>
    <w:rsid w:val="00346E38"/>
    <w:rsid w:val="003C442D"/>
    <w:rsid w:val="003E2D3A"/>
    <w:rsid w:val="004921A0"/>
    <w:rsid w:val="004E2AD5"/>
    <w:rsid w:val="00511074"/>
    <w:rsid w:val="00513F7E"/>
    <w:rsid w:val="0057267D"/>
    <w:rsid w:val="005C04C7"/>
    <w:rsid w:val="005E2134"/>
    <w:rsid w:val="0060431A"/>
    <w:rsid w:val="00621366"/>
    <w:rsid w:val="00633F2B"/>
    <w:rsid w:val="00636406"/>
    <w:rsid w:val="00667E58"/>
    <w:rsid w:val="00733DB2"/>
    <w:rsid w:val="00795FD0"/>
    <w:rsid w:val="007B2976"/>
    <w:rsid w:val="00814241"/>
    <w:rsid w:val="00840F36"/>
    <w:rsid w:val="00845012"/>
    <w:rsid w:val="008660E6"/>
    <w:rsid w:val="008E4B92"/>
    <w:rsid w:val="00991F2C"/>
    <w:rsid w:val="009C5F35"/>
    <w:rsid w:val="00A7187F"/>
    <w:rsid w:val="00A72627"/>
    <w:rsid w:val="00A87F52"/>
    <w:rsid w:val="00AB20C7"/>
    <w:rsid w:val="00AF24BB"/>
    <w:rsid w:val="00B02BD2"/>
    <w:rsid w:val="00B35993"/>
    <w:rsid w:val="00B9770A"/>
    <w:rsid w:val="00BD05EE"/>
    <w:rsid w:val="00C21F09"/>
    <w:rsid w:val="00CD1A49"/>
    <w:rsid w:val="00CD31FC"/>
    <w:rsid w:val="00D20733"/>
    <w:rsid w:val="00D24E14"/>
    <w:rsid w:val="00D46A9F"/>
    <w:rsid w:val="00DC6588"/>
    <w:rsid w:val="00E14330"/>
    <w:rsid w:val="00E853B9"/>
    <w:rsid w:val="00F447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A704"/>
  <w15:docId w15:val="{5EEC718B-0670-4AA3-8EC2-A4DA052F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pPr>
      <w:ind w:firstLine="0"/>
      <w:jc w:val="left"/>
    </w:pPr>
    <w:rPr>
      <w:lang w:val="ro-RO" w:eastAsia="ru-RU"/>
    </w:rPr>
  </w:style>
  <w:style w:type="character" w:customStyle="1" w:styleId="TextcomentariuCaracter">
    <w:name w:val="Text comentariu Caracter"/>
    <w:basedOn w:val="Fontdeparagrafimplicit"/>
    <w:link w:val="Textcomentariu"/>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 w:type="character" w:customStyle="1" w:styleId="text-token-text-secondary">
    <w:name w:val="text-token-text-secondary"/>
    <w:basedOn w:val="Fontdeparagrafimplicit"/>
    <w:rsid w:val="0062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996">
      <w:bodyDiv w:val="1"/>
      <w:marLeft w:val="0"/>
      <w:marRight w:val="0"/>
      <w:marTop w:val="0"/>
      <w:marBottom w:val="0"/>
      <w:divBdr>
        <w:top w:val="none" w:sz="0" w:space="0" w:color="auto"/>
        <w:left w:val="none" w:sz="0" w:space="0" w:color="auto"/>
        <w:bottom w:val="none" w:sz="0" w:space="0" w:color="auto"/>
        <w:right w:val="none" w:sz="0" w:space="0" w:color="auto"/>
      </w:divBdr>
    </w:div>
    <w:div w:id="219949748">
      <w:bodyDiv w:val="1"/>
      <w:marLeft w:val="0"/>
      <w:marRight w:val="0"/>
      <w:marTop w:val="0"/>
      <w:marBottom w:val="0"/>
      <w:divBdr>
        <w:top w:val="none" w:sz="0" w:space="0" w:color="auto"/>
        <w:left w:val="none" w:sz="0" w:space="0" w:color="auto"/>
        <w:bottom w:val="none" w:sz="0" w:space="0" w:color="auto"/>
        <w:right w:val="none" w:sz="0" w:space="0" w:color="auto"/>
      </w:divBdr>
    </w:div>
    <w:div w:id="346717679">
      <w:bodyDiv w:val="1"/>
      <w:marLeft w:val="0"/>
      <w:marRight w:val="0"/>
      <w:marTop w:val="0"/>
      <w:marBottom w:val="0"/>
      <w:divBdr>
        <w:top w:val="none" w:sz="0" w:space="0" w:color="auto"/>
        <w:left w:val="none" w:sz="0" w:space="0" w:color="auto"/>
        <w:bottom w:val="none" w:sz="0" w:space="0" w:color="auto"/>
        <w:right w:val="none" w:sz="0" w:space="0" w:color="auto"/>
      </w:divBdr>
    </w:div>
    <w:div w:id="673847498">
      <w:bodyDiv w:val="1"/>
      <w:marLeft w:val="0"/>
      <w:marRight w:val="0"/>
      <w:marTop w:val="0"/>
      <w:marBottom w:val="0"/>
      <w:divBdr>
        <w:top w:val="none" w:sz="0" w:space="0" w:color="auto"/>
        <w:left w:val="none" w:sz="0" w:space="0" w:color="auto"/>
        <w:bottom w:val="none" w:sz="0" w:space="0" w:color="auto"/>
        <w:right w:val="none" w:sz="0" w:space="0" w:color="auto"/>
      </w:divBdr>
    </w:div>
    <w:div w:id="835728671">
      <w:bodyDiv w:val="1"/>
      <w:marLeft w:val="0"/>
      <w:marRight w:val="0"/>
      <w:marTop w:val="0"/>
      <w:marBottom w:val="0"/>
      <w:divBdr>
        <w:top w:val="none" w:sz="0" w:space="0" w:color="auto"/>
        <w:left w:val="none" w:sz="0" w:space="0" w:color="auto"/>
        <w:bottom w:val="none" w:sz="0" w:space="0" w:color="auto"/>
        <w:right w:val="none" w:sz="0" w:space="0" w:color="auto"/>
      </w:divBdr>
    </w:div>
    <w:div w:id="851912431">
      <w:bodyDiv w:val="1"/>
      <w:marLeft w:val="0"/>
      <w:marRight w:val="0"/>
      <w:marTop w:val="0"/>
      <w:marBottom w:val="0"/>
      <w:divBdr>
        <w:top w:val="none" w:sz="0" w:space="0" w:color="auto"/>
        <w:left w:val="none" w:sz="0" w:space="0" w:color="auto"/>
        <w:bottom w:val="none" w:sz="0" w:space="0" w:color="auto"/>
        <w:right w:val="none" w:sz="0" w:space="0" w:color="auto"/>
      </w:divBdr>
      <w:divsChild>
        <w:div w:id="1846020078">
          <w:marLeft w:val="0"/>
          <w:marRight w:val="0"/>
          <w:marTop w:val="0"/>
          <w:marBottom w:val="0"/>
          <w:divBdr>
            <w:top w:val="none" w:sz="0" w:space="0" w:color="auto"/>
            <w:left w:val="none" w:sz="0" w:space="0" w:color="auto"/>
            <w:bottom w:val="none" w:sz="0" w:space="0" w:color="auto"/>
            <w:right w:val="none" w:sz="0" w:space="0" w:color="auto"/>
          </w:divBdr>
          <w:divsChild>
            <w:div w:id="652413131">
              <w:marLeft w:val="0"/>
              <w:marRight w:val="0"/>
              <w:marTop w:val="0"/>
              <w:marBottom w:val="0"/>
              <w:divBdr>
                <w:top w:val="none" w:sz="0" w:space="0" w:color="auto"/>
                <w:left w:val="none" w:sz="0" w:space="0" w:color="auto"/>
                <w:bottom w:val="none" w:sz="0" w:space="0" w:color="auto"/>
                <w:right w:val="none" w:sz="0" w:space="0" w:color="auto"/>
              </w:divBdr>
              <w:divsChild>
                <w:div w:id="207032606">
                  <w:marLeft w:val="0"/>
                  <w:marRight w:val="0"/>
                  <w:marTop w:val="0"/>
                  <w:marBottom w:val="0"/>
                  <w:divBdr>
                    <w:top w:val="none" w:sz="0" w:space="0" w:color="auto"/>
                    <w:left w:val="none" w:sz="0" w:space="0" w:color="auto"/>
                    <w:bottom w:val="none" w:sz="0" w:space="0" w:color="auto"/>
                    <w:right w:val="none" w:sz="0" w:space="0" w:color="auto"/>
                  </w:divBdr>
                  <w:divsChild>
                    <w:div w:id="14381561">
                      <w:marLeft w:val="0"/>
                      <w:marRight w:val="0"/>
                      <w:marTop w:val="0"/>
                      <w:marBottom w:val="0"/>
                      <w:divBdr>
                        <w:top w:val="none" w:sz="0" w:space="0" w:color="auto"/>
                        <w:left w:val="none" w:sz="0" w:space="0" w:color="auto"/>
                        <w:bottom w:val="none" w:sz="0" w:space="0" w:color="auto"/>
                        <w:right w:val="none" w:sz="0" w:space="0" w:color="auto"/>
                      </w:divBdr>
                      <w:divsChild>
                        <w:div w:id="1325890929">
                          <w:marLeft w:val="0"/>
                          <w:marRight w:val="0"/>
                          <w:marTop w:val="0"/>
                          <w:marBottom w:val="0"/>
                          <w:divBdr>
                            <w:top w:val="none" w:sz="0" w:space="0" w:color="auto"/>
                            <w:left w:val="none" w:sz="0" w:space="0" w:color="auto"/>
                            <w:bottom w:val="none" w:sz="0" w:space="0" w:color="auto"/>
                            <w:right w:val="none" w:sz="0" w:space="0" w:color="auto"/>
                          </w:divBdr>
                          <w:divsChild>
                            <w:div w:id="5530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011816">
      <w:bodyDiv w:val="1"/>
      <w:marLeft w:val="0"/>
      <w:marRight w:val="0"/>
      <w:marTop w:val="0"/>
      <w:marBottom w:val="0"/>
      <w:divBdr>
        <w:top w:val="none" w:sz="0" w:space="0" w:color="auto"/>
        <w:left w:val="none" w:sz="0" w:space="0" w:color="auto"/>
        <w:bottom w:val="none" w:sz="0" w:space="0" w:color="auto"/>
        <w:right w:val="none" w:sz="0" w:space="0" w:color="auto"/>
      </w:divBdr>
    </w:div>
    <w:div w:id="1108621867">
      <w:bodyDiv w:val="1"/>
      <w:marLeft w:val="0"/>
      <w:marRight w:val="0"/>
      <w:marTop w:val="0"/>
      <w:marBottom w:val="0"/>
      <w:divBdr>
        <w:top w:val="none" w:sz="0" w:space="0" w:color="auto"/>
        <w:left w:val="none" w:sz="0" w:space="0" w:color="auto"/>
        <w:bottom w:val="none" w:sz="0" w:space="0" w:color="auto"/>
        <w:right w:val="none" w:sz="0" w:space="0" w:color="auto"/>
      </w:divBdr>
    </w:div>
    <w:div w:id="1808668838">
      <w:bodyDiv w:val="1"/>
      <w:marLeft w:val="0"/>
      <w:marRight w:val="0"/>
      <w:marTop w:val="0"/>
      <w:marBottom w:val="0"/>
      <w:divBdr>
        <w:top w:val="none" w:sz="0" w:space="0" w:color="auto"/>
        <w:left w:val="none" w:sz="0" w:space="0" w:color="auto"/>
        <w:bottom w:val="none" w:sz="0" w:space="0" w:color="auto"/>
        <w:right w:val="none" w:sz="0" w:space="0" w:color="auto"/>
      </w:divBdr>
    </w:div>
    <w:div w:id="2010711699">
      <w:bodyDiv w:val="1"/>
      <w:marLeft w:val="0"/>
      <w:marRight w:val="0"/>
      <w:marTop w:val="0"/>
      <w:marBottom w:val="0"/>
      <w:divBdr>
        <w:top w:val="none" w:sz="0" w:space="0" w:color="auto"/>
        <w:left w:val="none" w:sz="0" w:space="0" w:color="auto"/>
        <w:bottom w:val="none" w:sz="0" w:space="0" w:color="auto"/>
        <w:right w:val="none" w:sz="0" w:space="0" w:color="auto"/>
      </w:divBdr>
    </w:div>
    <w:div w:id="20524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ministerul-sanatatii-anunta-initierea-elaborarii-proiectului-pentru-modificarea-legii-nr1822019-privind-calitatea-apei-potabile/1271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5</Pages>
  <Words>2293</Words>
  <Characters>13305</Characters>
  <Application>Microsoft Office Word</Application>
  <DocSecurity>0</DocSecurity>
  <Lines>110</Lines>
  <Paragraphs>31</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mihaela.popa@ms.gov.md</cp:lastModifiedBy>
  <cp:revision>21</cp:revision>
  <cp:lastPrinted>2024-07-09T08:54:00Z</cp:lastPrinted>
  <dcterms:created xsi:type="dcterms:W3CDTF">2024-06-13T04:22:00Z</dcterms:created>
  <dcterms:modified xsi:type="dcterms:W3CDTF">2024-07-16T09:05:00Z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