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815" w:rsidRPr="00645815" w:rsidRDefault="00645815" w:rsidP="00645815">
      <w:pPr>
        <w:pStyle w:val="cn"/>
        <w:shd w:val="clear" w:color="auto" w:fill="FFFFFF"/>
        <w:spacing w:before="0" w:beforeAutospacing="0" w:after="0" w:afterAutospacing="0"/>
        <w:jc w:val="center"/>
        <w:rPr>
          <w:color w:val="000000"/>
          <w:lang w:val="ro-MD"/>
        </w:rPr>
      </w:pPr>
      <w:r w:rsidRPr="00645815">
        <w:rPr>
          <w:b/>
          <w:bCs/>
          <w:color w:val="000000"/>
          <w:lang w:val="ro-MD"/>
        </w:rPr>
        <w:t>NOTA DE FUNDAMENTARE</w:t>
      </w:r>
    </w:p>
    <w:p w:rsidR="00645815" w:rsidRPr="00645815" w:rsidRDefault="00645815" w:rsidP="00E914EF">
      <w:pPr>
        <w:pStyle w:val="cn"/>
        <w:shd w:val="clear" w:color="auto" w:fill="FFFFFF"/>
        <w:spacing w:before="0" w:beforeAutospacing="0" w:after="0" w:afterAutospacing="0"/>
        <w:ind w:firstLine="709"/>
        <w:jc w:val="center"/>
        <w:rPr>
          <w:color w:val="000000"/>
          <w:lang w:val="ro-MD"/>
        </w:rPr>
      </w:pPr>
      <w:r w:rsidRPr="00645815">
        <w:rPr>
          <w:b/>
          <w:bCs/>
          <w:color w:val="000000"/>
          <w:lang w:val="ro-MD"/>
        </w:rPr>
        <w:t>la proiectul</w:t>
      </w:r>
      <w:r w:rsidR="00E914EF">
        <w:rPr>
          <w:color w:val="000000"/>
          <w:lang w:val="ro-MD"/>
        </w:rPr>
        <w:t xml:space="preserve"> Hotărârii de Guvern </w:t>
      </w:r>
      <w:r w:rsidR="00E914EF" w:rsidRPr="00E914EF">
        <w:rPr>
          <w:color w:val="000000"/>
          <w:lang w:val="ro-MD"/>
        </w:rPr>
        <w:t>pentru modificarea Hotărârii Guvernului nr. 174/2009 cu privire la aprobarea Reglementării tehnice “Fructe de culturi</w:t>
      </w:r>
      <w:r w:rsidR="00E914EF">
        <w:rPr>
          <w:color w:val="000000"/>
          <w:lang w:val="ro-MD"/>
        </w:rPr>
        <w:t xml:space="preserve"> </w:t>
      </w:r>
      <w:r w:rsidR="00E914EF" w:rsidRPr="00E914EF">
        <w:rPr>
          <w:color w:val="000000"/>
          <w:lang w:val="ro-MD"/>
        </w:rPr>
        <w:t xml:space="preserve">nucifere. </w:t>
      </w:r>
      <w:proofErr w:type="spellStart"/>
      <w:r w:rsidR="00E914EF" w:rsidRPr="00E914EF">
        <w:rPr>
          <w:color w:val="000000"/>
          <w:lang w:val="ro-MD"/>
        </w:rPr>
        <w:t>Cerinţe</w:t>
      </w:r>
      <w:proofErr w:type="spellEnd"/>
      <w:r w:rsidR="00E914EF" w:rsidRPr="00E914EF">
        <w:rPr>
          <w:color w:val="000000"/>
          <w:lang w:val="ro-MD"/>
        </w:rPr>
        <w:t xml:space="preserve"> de calitate </w:t>
      </w:r>
      <w:proofErr w:type="spellStart"/>
      <w:r w:rsidR="00E914EF" w:rsidRPr="00E914EF">
        <w:rPr>
          <w:color w:val="000000"/>
          <w:lang w:val="ro-MD"/>
        </w:rPr>
        <w:t>şi</w:t>
      </w:r>
      <w:proofErr w:type="spellEnd"/>
      <w:r w:rsidR="00E914EF" w:rsidRPr="00E914EF">
        <w:rPr>
          <w:color w:val="000000"/>
          <w:lang w:val="ro-MD"/>
        </w:rPr>
        <w:t xml:space="preserve"> comercializare</w:t>
      </w:r>
    </w:p>
    <w:p w:rsidR="003B4C12" w:rsidRDefault="003B4C12">
      <w:pPr>
        <w:rPr>
          <w:rFonts w:ascii="Times New Roman" w:hAnsi="Times New Roman" w:cs="Times New Roman"/>
          <w:sz w:val="24"/>
          <w:szCs w:val="24"/>
          <w:lang w:val="ro-MD"/>
        </w:rPr>
      </w:pPr>
    </w:p>
    <w:tbl>
      <w:tblPr>
        <w:tblW w:w="5911" w:type="pct"/>
        <w:tblInd w:w="-1169" w:type="dxa"/>
        <w:shd w:val="clear" w:color="auto" w:fill="FFFFFF"/>
        <w:tblCellMar>
          <w:left w:w="0" w:type="dxa"/>
          <w:right w:w="0" w:type="dxa"/>
        </w:tblCellMar>
        <w:tblLook w:val="04A0" w:firstRow="1" w:lastRow="0" w:firstColumn="1" w:lastColumn="0" w:noHBand="0" w:noVBand="1"/>
      </w:tblPr>
      <w:tblGrid>
        <w:gridCol w:w="11059"/>
      </w:tblGrid>
      <w:tr w:rsidR="00645815" w:rsidRPr="00E544F6" w:rsidTr="00645815">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b/>
                <w:bCs/>
                <w:color w:val="000000"/>
                <w:sz w:val="24"/>
                <w:szCs w:val="24"/>
                <w:lang w:val="ro-MD" w:eastAsia="ru-RU"/>
              </w:rPr>
              <w:t>1. Denumirea sau numele autorului şi, după caz, a/al participanţilor la elaborarea proiectului actului normativ</w:t>
            </w:r>
          </w:p>
        </w:tc>
      </w:tr>
      <w:tr w:rsidR="00645815" w:rsidRPr="00E544F6"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E914EF" w:rsidRDefault="00EB6D8A" w:rsidP="00E914EF">
            <w:pPr>
              <w:spacing w:after="0" w:line="240" w:lineRule="auto"/>
              <w:ind w:firstLine="709"/>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 xml:space="preserve">Sandală </w:t>
            </w:r>
            <w:proofErr w:type="spellStart"/>
            <w:r>
              <w:rPr>
                <w:rFonts w:ascii="Times New Roman" w:eastAsia="Times New Roman" w:hAnsi="Times New Roman" w:cs="Times New Roman"/>
                <w:color w:val="000000"/>
                <w:sz w:val="24"/>
                <w:szCs w:val="24"/>
                <w:lang w:val="ro-MD" w:eastAsia="ru-RU"/>
              </w:rPr>
              <w:t>Melenciuc</w:t>
            </w:r>
            <w:proofErr w:type="spellEnd"/>
            <w:r>
              <w:rPr>
                <w:rFonts w:ascii="Times New Roman" w:eastAsia="Times New Roman" w:hAnsi="Times New Roman" w:cs="Times New Roman"/>
                <w:color w:val="000000"/>
                <w:sz w:val="24"/>
                <w:szCs w:val="24"/>
                <w:lang w:val="ro-MD" w:eastAsia="ru-RU"/>
              </w:rPr>
              <w:t xml:space="preserve">, consultantă principală, Direcția politici în sectorul vegetal, </w:t>
            </w:r>
            <w:r w:rsidR="00F576B9" w:rsidRPr="00F576B9">
              <w:rPr>
                <w:rFonts w:ascii="Times New Roman" w:eastAsia="Times New Roman" w:hAnsi="Times New Roman" w:cs="Times New Roman"/>
                <w:color w:val="000000"/>
                <w:sz w:val="24"/>
                <w:szCs w:val="24"/>
                <w:lang w:val="ro-MD" w:eastAsia="ru-RU"/>
              </w:rPr>
              <w:t>Ministerul Agriculturii și Industriei Alimentare</w:t>
            </w:r>
          </w:p>
        </w:tc>
      </w:tr>
      <w:tr w:rsidR="00645815" w:rsidRPr="00E544F6"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b/>
                <w:bCs/>
                <w:color w:val="000000"/>
                <w:sz w:val="24"/>
                <w:szCs w:val="24"/>
                <w:lang w:val="ro-MD" w:eastAsia="ru-RU"/>
              </w:rPr>
              <w:t>2. Condiţiile ce au impus elaborarea proiectului actului normativ</w:t>
            </w:r>
          </w:p>
        </w:tc>
      </w:tr>
      <w:tr w:rsidR="00645815" w:rsidRPr="00E544F6"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2.1. Temeiul legal sau, după caz, sursa proiectului actului normativ</w:t>
            </w:r>
          </w:p>
          <w:p w:rsidR="007932FE" w:rsidRPr="008C566B" w:rsidRDefault="00161336" w:rsidP="00E914EF">
            <w:pPr>
              <w:spacing w:after="0" w:line="240" w:lineRule="auto"/>
              <w:ind w:firstLine="709"/>
              <w:rPr>
                <w:rFonts w:ascii="Times New Roman" w:eastAsia="Times New Roman" w:hAnsi="Times New Roman" w:cs="Times New Roman"/>
                <w:color w:val="000000"/>
                <w:sz w:val="24"/>
                <w:szCs w:val="24"/>
                <w:lang w:val="ro-MD" w:eastAsia="ru-RU"/>
              </w:rPr>
            </w:pPr>
            <w:r>
              <w:rPr>
                <w:rFonts w:ascii="Times New Roman" w:eastAsia="Calibri" w:hAnsi="Times New Roman" w:cs="Times New Roman"/>
                <w:sz w:val="24"/>
                <w:szCs w:val="24"/>
                <w:lang w:val="ro-RO"/>
              </w:rPr>
              <w:t xml:space="preserve">Necesitatea elaborării proiectului de modificare a Hotărârii de Guvern nr. 174/2009 este din proprie inițiativă pentru a soluționa unele lacune legislative, abrogarea </w:t>
            </w:r>
            <w:r w:rsidRPr="00161336">
              <w:rPr>
                <w:rFonts w:ascii="Times New Roman" w:eastAsia="Calibri" w:hAnsi="Times New Roman" w:cs="Times New Roman"/>
                <w:sz w:val="24"/>
                <w:szCs w:val="24"/>
                <w:lang w:val="ro-RO"/>
              </w:rPr>
              <w:t xml:space="preserve">Regulamentul nr.175/2001/CE al Comisiei </w:t>
            </w:r>
            <w:proofErr w:type="spellStart"/>
            <w:r w:rsidRPr="00161336">
              <w:rPr>
                <w:rFonts w:ascii="Times New Roman" w:eastAsia="Calibri" w:hAnsi="Times New Roman" w:cs="Times New Roman"/>
                <w:sz w:val="24"/>
                <w:szCs w:val="24"/>
                <w:lang w:val="ro-RO"/>
              </w:rPr>
              <w:t>Comunităţilor</w:t>
            </w:r>
            <w:proofErr w:type="spellEnd"/>
            <w:r w:rsidRPr="00161336">
              <w:rPr>
                <w:rFonts w:ascii="Times New Roman" w:eastAsia="Calibri" w:hAnsi="Times New Roman" w:cs="Times New Roman"/>
                <w:sz w:val="24"/>
                <w:szCs w:val="24"/>
                <w:lang w:val="ro-RO"/>
              </w:rPr>
              <w:t xml:space="preserve"> Europene din 26 ianuarie 2001 de stabilire a standardului de comercializare aplicabil nucilor comune în coajă, publicat în Jurnalul Oficial al </w:t>
            </w:r>
            <w:proofErr w:type="spellStart"/>
            <w:r w:rsidRPr="00161336">
              <w:rPr>
                <w:rFonts w:ascii="Times New Roman" w:eastAsia="Calibri" w:hAnsi="Times New Roman" w:cs="Times New Roman"/>
                <w:sz w:val="24"/>
                <w:szCs w:val="24"/>
                <w:lang w:val="ro-RO"/>
              </w:rPr>
              <w:t>Comunităţilor</w:t>
            </w:r>
            <w:proofErr w:type="spellEnd"/>
            <w:r w:rsidRPr="00161336">
              <w:rPr>
                <w:rFonts w:ascii="Times New Roman" w:eastAsia="Calibri" w:hAnsi="Times New Roman" w:cs="Times New Roman"/>
                <w:sz w:val="24"/>
                <w:szCs w:val="24"/>
                <w:lang w:val="ro-RO"/>
              </w:rPr>
              <w:t xml:space="preserve"> Europene JO L 26, 27.1.2001, p.2430, </w:t>
            </w:r>
            <w:proofErr w:type="spellStart"/>
            <w:r w:rsidRPr="00161336">
              <w:rPr>
                <w:rFonts w:ascii="Times New Roman" w:eastAsia="Calibri" w:hAnsi="Times New Roman" w:cs="Times New Roman"/>
                <w:sz w:val="24"/>
                <w:szCs w:val="24"/>
                <w:lang w:val="ro-RO"/>
              </w:rPr>
              <w:t>şi</w:t>
            </w:r>
            <w:proofErr w:type="spellEnd"/>
            <w:r w:rsidRPr="00161336">
              <w:rPr>
                <w:rFonts w:ascii="Times New Roman" w:eastAsia="Calibri" w:hAnsi="Times New Roman" w:cs="Times New Roman"/>
                <w:sz w:val="24"/>
                <w:szCs w:val="24"/>
                <w:lang w:val="ro-RO"/>
              </w:rPr>
              <w:t xml:space="preserve"> Regulamentul nr.1284/2002/CE al Comisiei </w:t>
            </w:r>
            <w:proofErr w:type="spellStart"/>
            <w:r w:rsidRPr="00161336">
              <w:rPr>
                <w:rFonts w:ascii="Times New Roman" w:eastAsia="Calibri" w:hAnsi="Times New Roman" w:cs="Times New Roman"/>
                <w:sz w:val="24"/>
                <w:szCs w:val="24"/>
                <w:lang w:val="ro-RO"/>
              </w:rPr>
              <w:t>Comunităţilor</w:t>
            </w:r>
            <w:proofErr w:type="spellEnd"/>
            <w:r w:rsidRPr="00161336">
              <w:rPr>
                <w:rFonts w:ascii="Times New Roman" w:eastAsia="Calibri" w:hAnsi="Times New Roman" w:cs="Times New Roman"/>
                <w:sz w:val="24"/>
                <w:szCs w:val="24"/>
                <w:lang w:val="ro-RO"/>
              </w:rPr>
              <w:t xml:space="preserve"> Europene din 15 iulie 2002 de stabilire a standardului de comercializare pentru alunele cu coajă, publicat în Jurnalul Oficial al </w:t>
            </w:r>
            <w:proofErr w:type="spellStart"/>
            <w:r w:rsidRPr="00161336">
              <w:rPr>
                <w:rFonts w:ascii="Times New Roman" w:eastAsia="Calibri" w:hAnsi="Times New Roman" w:cs="Times New Roman"/>
                <w:sz w:val="24"/>
                <w:szCs w:val="24"/>
                <w:lang w:val="ro-RO"/>
              </w:rPr>
              <w:t>Comunităţilor</w:t>
            </w:r>
            <w:proofErr w:type="spellEnd"/>
            <w:r w:rsidRPr="00161336">
              <w:rPr>
                <w:rFonts w:ascii="Times New Roman" w:eastAsia="Calibri" w:hAnsi="Times New Roman" w:cs="Times New Roman"/>
                <w:sz w:val="24"/>
                <w:szCs w:val="24"/>
                <w:lang w:val="ro-RO"/>
              </w:rPr>
              <w:t xml:space="preserve"> Europene JO L 187, 16.7.2002, p.1420.</w:t>
            </w:r>
          </w:p>
        </w:tc>
      </w:tr>
      <w:tr w:rsidR="00645815" w:rsidRPr="002F25B9" w:rsidTr="00645815">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E544F6" w:rsidRDefault="00645815" w:rsidP="00E544F6">
            <w:pPr>
              <w:spacing w:after="0" w:line="240" w:lineRule="auto"/>
              <w:ind w:firstLine="709"/>
              <w:rPr>
                <w:rFonts w:ascii="Times New Roman" w:eastAsia="Times New Roman" w:hAnsi="Times New Roman" w:cs="Times New Roman"/>
                <w:color w:val="000000"/>
                <w:sz w:val="24"/>
                <w:szCs w:val="24"/>
                <w:lang w:val="ro-MD" w:eastAsia="ru-RU"/>
              </w:rPr>
            </w:pPr>
            <w:r w:rsidRPr="00E544F6">
              <w:rPr>
                <w:rFonts w:ascii="Times New Roman" w:eastAsia="Times New Roman" w:hAnsi="Times New Roman" w:cs="Times New Roman"/>
                <w:color w:val="000000"/>
                <w:sz w:val="24"/>
                <w:szCs w:val="24"/>
                <w:lang w:val="ro-MD" w:eastAsia="ru-RU"/>
              </w:rPr>
              <w:t xml:space="preserve">2.2. Descrierea situaţiei actuale şi a problemelor care impun intervenţia, inclusiv a cadrului normativ aplicabil </w:t>
            </w:r>
            <w:proofErr w:type="spellStart"/>
            <w:r w:rsidRPr="00E544F6">
              <w:rPr>
                <w:rFonts w:ascii="Times New Roman" w:eastAsia="Times New Roman" w:hAnsi="Times New Roman" w:cs="Times New Roman"/>
                <w:color w:val="000000"/>
                <w:sz w:val="24"/>
                <w:szCs w:val="24"/>
                <w:lang w:val="ro-MD" w:eastAsia="ru-RU"/>
              </w:rPr>
              <w:t>şi</w:t>
            </w:r>
            <w:proofErr w:type="spellEnd"/>
            <w:r w:rsidRPr="00E544F6">
              <w:rPr>
                <w:rFonts w:ascii="Times New Roman" w:eastAsia="Times New Roman" w:hAnsi="Times New Roman" w:cs="Times New Roman"/>
                <w:color w:val="000000"/>
                <w:sz w:val="24"/>
                <w:szCs w:val="24"/>
                <w:lang w:val="ro-MD" w:eastAsia="ru-RU"/>
              </w:rPr>
              <w:t xml:space="preserve"> a </w:t>
            </w:r>
            <w:proofErr w:type="spellStart"/>
            <w:r w:rsidRPr="00E544F6">
              <w:rPr>
                <w:rFonts w:ascii="Times New Roman" w:eastAsia="Times New Roman" w:hAnsi="Times New Roman" w:cs="Times New Roman"/>
                <w:color w:val="000000"/>
                <w:sz w:val="24"/>
                <w:szCs w:val="24"/>
                <w:lang w:val="ro-MD" w:eastAsia="ru-RU"/>
              </w:rPr>
              <w:t>deficienţelor</w:t>
            </w:r>
            <w:proofErr w:type="spellEnd"/>
            <w:r w:rsidRPr="00E544F6">
              <w:rPr>
                <w:rFonts w:ascii="Times New Roman" w:eastAsia="Times New Roman" w:hAnsi="Times New Roman" w:cs="Times New Roman"/>
                <w:color w:val="000000"/>
                <w:sz w:val="24"/>
                <w:szCs w:val="24"/>
                <w:lang w:val="ro-MD" w:eastAsia="ru-RU"/>
              </w:rPr>
              <w:t>/lacunelor normative</w:t>
            </w:r>
          </w:p>
          <w:p w:rsidR="004611F1" w:rsidRDefault="004611F1" w:rsidP="00E544F6">
            <w:pPr>
              <w:spacing w:after="0" w:line="240" w:lineRule="auto"/>
              <w:ind w:firstLine="709"/>
              <w:jc w:val="both"/>
              <w:rPr>
                <w:rFonts w:ascii="Times New Roman" w:eastAsia="Calibri" w:hAnsi="Times New Roman" w:cs="Times New Roman"/>
                <w:sz w:val="24"/>
                <w:szCs w:val="24"/>
                <w:lang w:val="ro-RO"/>
              </w:rPr>
            </w:pPr>
            <w:r w:rsidRPr="004611F1">
              <w:rPr>
                <w:rFonts w:ascii="Times New Roman" w:eastAsia="Calibri" w:hAnsi="Times New Roman" w:cs="Times New Roman"/>
                <w:sz w:val="24"/>
                <w:szCs w:val="24"/>
                <w:lang w:val="ro-RO"/>
              </w:rPr>
              <w:t>În ultimii ani, suprafețele cultivate cu nucifere au crescut considerabil în țara noastră. Nucul, alunul și migdalul sunt cele trei specii cultivate de către producători. Suprafețele livezilor de nuc sunt în creștere, iar celelalte două specii sunt mai puțin cunoscute horticultorilor.</w:t>
            </w:r>
          </w:p>
          <w:p w:rsidR="00E544F6" w:rsidRDefault="00E544F6" w:rsidP="00E544F6">
            <w:pPr>
              <w:spacing w:after="0" w:line="240" w:lineRule="auto"/>
              <w:ind w:firstLine="709"/>
              <w:jc w:val="both"/>
              <w:rPr>
                <w:rFonts w:ascii="Times New Roman" w:eastAsia="Calibri" w:hAnsi="Times New Roman" w:cs="Times New Roman"/>
                <w:sz w:val="24"/>
                <w:szCs w:val="24"/>
                <w:lang w:val="ro-RO"/>
              </w:rPr>
            </w:pPr>
            <w:r w:rsidRPr="00E544F6">
              <w:rPr>
                <w:rFonts w:ascii="Times New Roman" w:eastAsia="Calibri" w:hAnsi="Times New Roman" w:cs="Times New Roman"/>
                <w:sz w:val="24"/>
                <w:szCs w:val="24"/>
                <w:lang w:val="ro-RO"/>
              </w:rPr>
              <w:t>Conform datelor Biroului Național de Statistică, în anul 20</w:t>
            </w:r>
            <w:r>
              <w:rPr>
                <w:rFonts w:ascii="Times New Roman" w:eastAsia="Calibri" w:hAnsi="Times New Roman" w:cs="Times New Roman"/>
                <w:sz w:val="24"/>
                <w:szCs w:val="24"/>
                <w:lang w:val="ro-RO"/>
              </w:rPr>
              <w:t>23</w:t>
            </w:r>
            <w:r w:rsidRPr="00E544F6">
              <w:rPr>
                <w:rFonts w:ascii="Times New Roman" w:eastAsia="Calibri" w:hAnsi="Times New Roman" w:cs="Times New Roman"/>
                <w:sz w:val="24"/>
                <w:szCs w:val="24"/>
                <w:lang w:val="ro-RO"/>
              </w:rPr>
              <w:t xml:space="preserve"> (ultimele date oficiale), în Republica Moldova sunt înființate </w:t>
            </w:r>
            <w:r w:rsidR="004611F1">
              <w:rPr>
                <w:rFonts w:ascii="Times New Roman" w:eastAsia="Calibri" w:hAnsi="Times New Roman" w:cs="Times New Roman"/>
                <w:sz w:val="24"/>
                <w:szCs w:val="24"/>
                <w:lang w:val="ro-RO"/>
              </w:rPr>
              <w:t>39,1</w:t>
            </w:r>
            <w:r w:rsidRPr="00E544F6">
              <w:rPr>
                <w:rFonts w:ascii="Times New Roman" w:eastAsia="Calibri" w:hAnsi="Times New Roman" w:cs="Times New Roman"/>
                <w:sz w:val="24"/>
                <w:szCs w:val="24"/>
                <w:lang w:val="ro-RO"/>
              </w:rPr>
              <w:t xml:space="preserve">0 mii ha de culturi nucifere, din care </w:t>
            </w:r>
            <w:r w:rsidR="004611F1">
              <w:rPr>
                <w:rFonts w:ascii="Times New Roman" w:eastAsia="Calibri" w:hAnsi="Times New Roman" w:cs="Times New Roman"/>
                <w:sz w:val="24"/>
                <w:szCs w:val="24"/>
                <w:lang w:val="ro-RO"/>
              </w:rPr>
              <w:t>26,80</w:t>
            </w:r>
            <w:r w:rsidRPr="00E544F6">
              <w:rPr>
                <w:rFonts w:ascii="Times New Roman" w:eastAsia="Calibri" w:hAnsi="Times New Roman" w:cs="Times New Roman"/>
                <w:sz w:val="24"/>
                <w:szCs w:val="24"/>
                <w:lang w:val="ro-RO"/>
              </w:rPr>
              <w:t xml:space="preserve"> mii ha constituie plantațiile pe rod. Din suprafața pe rod, unde nucului îi revine circa </w:t>
            </w:r>
            <w:r w:rsidR="004611F1">
              <w:rPr>
                <w:rFonts w:ascii="Times New Roman" w:eastAsia="Calibri" w:hAnsi="Times New Roman" w:cs="Times New Roman"/>
                <w:sz w:val="24"/>
                <w:szCs w:val="24"/>
                <w:lang w:val="ro-RO"/>
              </w:rPr>
              <w:t>26,2 mii ha</w:t>
            </w:r>
            <w:r w:rsidRPr="00E544F6">
              <w:rPr>
                <w:rFonts w:ascii="Times New Roman" w:eastAsia="Calibri" w:hAnsi="Times New Roman" w:cs="Times New Roman"/>
                <w:sz w:val="24"/>
                <w:szCs w:val="24"/>
                <w:lang w:val="ro-RO"/>
              </w:rPr>
              <w:t xml:space="preserve">, producția globală de fructe a constituit 19,10 mii tone. </w:t>
            </w:r>
          </w:p>
          <w:p w:rsidR="00E544F6" w:rsidRDefault="00FF230E" w:rsidP="00126ACF">
            <w:pPr>
              <w:spacing w:after="0" w:line="240" w:lineRule="auto"/>
              <w:ind w:firstLine="709"/>
              <w:jc w:val="both"/>
              <w:rPr>
                <w:rFonts w:ascii="Times New Roman" w:eastAsia="Calibri" w:hAnsi="Times New Roman" w:cs="Times New Roman"/>
                <w:sz w:val="24"/>
                <w:szCs w:val="24"/>
                <w:lang w:val="ro-RO"/>
              </w:rPr>
            </w:pPr>
            <w:r w:rsidRPr="00FF230E">
              <w:rPr>
                <w:rFonts w:ascii="Times New Roman" w:eastAsia="Calibri" w:hAnsi="Times New Roman" w:cs="Times New Roman"/>
                <w:sz w:val="24"/>
                <w:szCs w:val="24"/>
                <w:lang w:val="ro-RO"/>
              </w:rPr>
              <w:t xml:space="preserve">Alunele sunt extrem de solicitate pe piața internațională, iar cererea pentru acestea este în continuă creștere. </w:t>
            </w:r>
            <w:r w:rsidR="00126ACF">
              <w:rPr>
                <w:rFonts w:ascii="Times New Roman" w:eastAsia="Calibri" w:hAnsi="Times New Roman" w:cs="Times New Roman"/>
                <w:sz w:val="24"/>
                <w:szCs w:val="24"/>
                <w:lang w:val="ro-RO"/>
              </w:rPr>
              <w:t>Republica Moldova cultivă</w:t>
            </w:r>
            <w:r w:rsidRPr="00FF230E">
              <w:rPr>
                <w:rFonts w:ascii="Times New Roman" w:eastAsia="Calibri" w:hAnsi="Times New Roman" w:cs="Times New Roman"/>
                <w:sz w:val="24"/>
                <w:szCs w:val="24"/>
                <w:lang w:val="ro-RO"/>
              </w:rPr>
              <w:t xml:space="preserve"> soiuri italiene, acestea fiind unele dintre cele mai bune. În Moldova sunt circa 500 de hectare plantate cu alun. Cred că suprafețele vor crește esențial în următorii ani. În 2018 au fost înființate peste 150 de hectare. Alunul este o specie rezistentă la frig, la secetă, la boli și practic toate lucrările în plantație sunt efectuate mecanizat. Cel mai mare impediment în dezvoltarea </w:t>
            </w:r>
            <w:proofErr w:type="spellStart"/>
            <w:r w:rsidRPr="00FF230E">
              <w:rPr>
                <w:rFonts w:ascii="Times New Roman" w:eastAsia="Calibri" w:hAnsi="Times New Roman" w:cs="Times New Roman"/>
                <w:sz w:val="24"/>
                <w:szCs w:val="24"/>
                <w:lang w:val="ro-RO"/>
              </w:rPr>
              <w:t>nuciculturii</w:t>
            </w:r>
            <w:proofErr w:type="spellEnd"/>
            <w:r w:rsidRPr="00FF230E">
              <w:rPr>
                <w:rFonts w:ascii="Times New Roman" w:eastAsia="Calibri" w:hAnsi="Times New Roman" w:cs="Times New Roman"/>
                <w:sz w:val="24"/>
                <w:szCs w:val="24"/>
                <w:lang w:val="ro-RO"/>
              </w:rPr>
              <w:t xml:space="preserve"> este lipsa informațiilor veridice. Chiar dacă sunt organizate seminare, oamenii mai puțin participă pentru a se instrui. Alunele în coajă sunt comercializate cu prețul de 2-3 euro per kilogram în dependență de calitate. </w:t>
            </w:r>
          </w:p>
          <w:p w:rsidR="002F25B9" w:rsidRDefault="002F25B9" w:rsidP="002F25B9">
            <w:pPr>
              <w:spacing w:after="0" w:line="276" w:lineRule="auto"/>
              <w:ind w:firstLine="720"/>
              <w:jc w:val="both"/>
              <w:rPr>
                <w:rFonts w:ascii="Times New Roman" w:eastAsia="Calibri" w:hAnsi="Times New Roman" w:cs="Times New Roman"/>
                <w:sz w:val="24"/>
                <w:szCs w:val="27"/>
                <w:lang w:val="ro-RO"/>
              </w:rPr>
            </w:pPr>
            <w:r w:rsidRPr="002F25B9">
              <w:rPr>
                <w:rFonts w:ascii="Times New Roman" w:eastAsia="Times New Roman" w:hAnsi="Times New Roman" w:cs="Times New Roman"/>
                <w:color w:val="000000"/>
                <w:sz w:val="24"/>
                <w:szCs w:val="24"/>
                <w:lang w:val="ro-RO" w:eastAsia="ru-RU"/>
              </w:rPr>
              <w:t xml:space="preserve">În ultimii ani suprafețele de migdal s-au redus </w:t>
            </w:r>
            <w:proofErr w:type="spellStart"/>
            <w:r w:rsidRPr="002F25B9">
              <w:rPr>
                <w:rFonts w:ascii="Times New Roman" w:eastAsia="Times New Roman" w:hAnsi="Times New Roman" w:cs="Times New Roman"/>
                <w:color w:val="000000"/>
                <w:sz w:val="24"/>
                <w:szCs w:val="24"/>
                <w:lang w:val="ro-RO" w:eastAsia="ru-RU"/>
              </w:rPr>
              <w:t>dotorită</w:t>
            </w:r>
            <w:proofErr w:type="spellEnd"/>
            <w:r w:rsidRPr="002F25B9">
              <w:rPr>
                <w:rFonts w:ascii="Times New Roman" w:eastAsia="Times New Roman" w:hAnsi="Times New Roman" w:cs="Times New Roman"/>
                <w:color w:val="000000"/>
                <w:sz w:val="24"/>
                <w:szCs w:val="24"/>
                <w:lang w:val="ro-RO" w:eastAsia="ru-RU"/>
              </w:rPr>
              <w:t xml:space="preserve"> schimbărilor climaterice, și anume înghețurile târzii de primăvară, care afectează direct productivitatea. În livezile în care se respect </w:t>
            </w:r>
            <w:proofErr w:type="spellStart"/>
            <w:r w:rsidRPr="002F25B9">
              <w:rPr>
                <w:rFonts w:ascii="Times New Roman" w:eastAsia="Times New Roman" w:hAnsi="Times New Roman" w:cs="Times New Roman"/>
                <w:color w:val="000000"/>
                <w:sz w:val="24"/>
                <w:szCs w:val="24"/>
                <w:lang w:val="ro-RO" w:eastAsia="ru-RU"/>
              </w:rPr>
              <w:t>tehnologiea</w:t>
            </w:r>
            <w:proofErr w:type="spellEnd"/>
            <w:r w:rsidRPr="002F25B9">
              <w:rPr>
                <w:rFonts w:ascii="Times New Roman" w:eastAsia="Times New Roman" w:hAnsi="Times New Roman" w:cs="Times New Roman"/>
                <w:color w:val="000000"/>
                <w:sz w:val="24"/>
                <w:szCs w:val="24"/>
                <w:lang w:val="ro-RO" w:eastAsia="ru-RU"/>
              </w:rPr>
              <w:t xml:space="preserve"> de cultivare și întreținere a specie respective este de 1-1,5 t/ha.</w:t>
            </w:r>
            <w:r>
              <w:rPr>
                <w:rFonts w:ascii="Times New Roman" w:eastAsia="Times New Roman" w:hAnsi="Times New Roman" w:cs="Times New Roman"/>
                <w:color w:val="000000"/>
                <w:sz w:val="24"/>
                <w:szCs w:val="24"/>
                <w:lang w:val="ro-RO" w:eastAsia="ru-RU"/>
              </w:rPr>
              <w:t xml:space="preserve"> </w:t>
            </w:r>
            <w:r w:rsidRPr="002F25B9">
              <w:rPr>
                <w:rFonts w:ascii="Times New Roman" w:eastAsia="Calibri" w:hAnsi="Times New Roman" w:cs="Times New Roman"/>
                <w:sz w:val="24"/>
                <w:szCs w:val="27"/>
                <w:lang w:val="ro-RO"/>
              </w:rPr>
              <w:t xml:space="preserve">Este cultivată această specie în zonele de centru: Anenii Noi (cca 100ha), Criuleni, Hâncești, Strășeni (cca 50 hectare); și zona de sud: Găgăuzia, Ștefan Vodă (cca 40 hectare), </w:t>
            </w:r>
            <w:proofErr w:type="spellStart"/>
            <w:r w:rsidRPr="002F25B9">
              <w:rPr>
                <w:rFonts w:ascii="Times New Roman" w:eastAsia="Calibri" w:hAnsi="Times New Roman" w:cs="Times New Roman"/>
                <w:sz w:val="24"/>
                <w:szCs w:val="27"/>
                <w:lang w:val="ro-RO"/>
              </w:rPr>
              <w:t>Ceadîr</w:t>
            </w:r>
            <w:proofErr w:type="spellEnd"/>
            <w:r w:rsidRPr="002F25B9">
              <w:rPr>
                <w:rFonts w:ascii="Times New Roman" w:eastAsia="Calibri" w:hAnsi="Times New Roman" w:cs="Times New Roman"/>
                <w:sz w:val="24"/>
                <w:szCs w:val="27"/>
                <w:lang w:val="ro-RO"/>
              </w:rPr>
              <w:t>-Lunga (cca 77 hectare).</w:t>
            </w:r>
          </w:p>
          <w:p w:rsidR="002F25B9" w:rsidRDefault="002F25B9" w:rsidP="002F25B9">
            <w:pPr>
              <w:spacing w:after="0" w:line="276" w:lineRule="auto"/>
              <w:ind w:firstLine="720"/>
              <w:jc w:val="both"/>
              <w:rPr>
                <w:rFonts w:ascii="Times New Roman" w:eastAsia="Calibri" w:hAnsi="Times New Roman" w:cs="Times New Roman"/>
                <w:sz w:val="24"/>
                <w:szCs w:val="27"/>
                <w:lang w:val="ro-RO"/>
              </w:rPr>
            </w:pPr>
            <w:r>
              <w:rPr>
                <w:rFonts w:ascii="Times New Roman" w:eastAsia="Calibri" w:hAnsi="Times New Roman" w:cs="Times New Roman"/>
                <w:sz w:val="24"/>
                <w:szCs w:val="27"/>
                <w:lang w:val="ro-RO"/>
              </w:rPr>
              <w:t xml:space="preserve">În tabelele 1 și 2 sunt prezentate importul și exportul de </w:t>
            </w:r>
            <w:r w:rsidR="00B17F2F">
              <w:rPr>
                <w:rFonts w:ascii="Times New Roman" w:eastAsia="Calibri" w:hAnsi="Times New Roman" w:cs="Times New Roman"/>
                <w:sz w:val="24"/>
                <w:szCs w:val="27"/>
                <w:lang w:val="ro-RO"/>
              </w:rPr>
              <w:t>f</w:t>
            </w:r>
            <w:r w:rsidR="00B17F2F" w:rsidRPr="00B17F2F">
              <w:rPr>
                <w:rFonts w:ascii="Times New Roman" w:eastAsia="Calibri" w:hAnsi="Times New Roman" w:cs="Times New Roman"/>
                <w:sz w:val="24"/>
                <w:szCs w:val="27"/>
                <w:lang w:val="ro-RO"/>
              </w:rPr>
              <w:t xml:space="preserve">ructe de culturi nucifere </w:t>
            </w:r>
            <w:r>
              <w:rPr>
                <w:rFonts w:ascii="Times New Roman" w:eastAsia="Calibri" w:hAnsi="Times New Roman" w:cs="Times New Roman"/>
                <w:sz w:val="24"/>
                <w:szCs w:val="27"/>
                <w:lang w:val="ro-RO"/>
              </w:rPr>
              <w:t>2021-2023.</w:t>
            </w:r>
          </w:p>
          <w:p w:rsidR="00124F3E" w:rsidRDefault="00124F3E" w:rsidP="00B17F2F">
            <w:pPr>
              <w:spacing w:after="0" w:line="276" w:lineRule="auto"/>
              <w:ind w:firstLine="720"/>
              <w:jc w:val="right"/>
              <w:rPr>
                <w:rFonts w:ascii="Times New Roman" w:eastAsia="Calibri" w:hAnsi="Times New Roman" w:cs="Times New Roman"/>
                <w:sz w:val="24"/>
                <w:szCs w:val="27"/>
                <w:lang w:val="ro-RO"/>
              </w:rPr>
            </w:pPr>
            <w:r>
              <w:rPr>
                <w:rFonts w:ascii="Times New Roman" w:eastAsia="Calibri" w:hAnsi="Times New Roman" w:cs="Times New Roman"/>
                <w:sz w:val="24"/>
                <w:szCs w:val="27"/>
                <w:lang w:val="ro-RO"/>
              </w:rPr>
              <w:t xml:space="preserve">Tabelul. 1 </w:t>
            </w:r>
            <w:r w:rsidR="00B17F2F">
              <w:rPr>
                <w:rFonts w:ascii="Times New Roman" w:eastAsia="Calibri" w:hAnsi="Times New Roman" w:cs="Times New Roman"/>
                <w:sz w:val="24"/>
                <w:szCs w:val="27"/>
                <w:lang w:val="ro-RO"/>
              </w:rPr>
              <w:t>Exportul de f</w:t>
            </w:r>
            <w:r w:rsidR="00B17F2F" w:rsidRPr="00B17F2F">
              <w:rPr>
                <w:rFonts w:ascii="Times New Roman" w:eastAsia="Calibri" w:hAnsi="Times New Roman" w:cs="Times New Roman"/>
                <w:sz w:val="24"/>
                <w:szCs w:val="27"/>
                <w:lang w:val="ro-RO"/>
              </w:rPr>
              <w:t>ructe de culturi nucifere</w:t>
            </w:r>
            <w:r>
              <w:rPr>
                <w:rFonts w:ascii="Times New Roman" w:eastAsia="Calibri" w:hAnsi="Times New Roman" w:cs="Times New Roman"/>
                <w:sz w:val="24"/>
                <w:szCs w:val="27"/>
                <w:lang w:val="ro-RO"/>
              </w:rPr>
              <w:t xml:space="preserve"> </w:t>
            </w:r>
          </w:p>
          <w:tbl>
            <w:tblPr>
              <w:tblStyle w:val="Tabelgril"/>
              <w:tblW w:w="0" w:type="auto"/>
              <w:tblLook w:val="04A0" w:firstRow="1" w:lastRow="0" w:firstColumn="1" w:lastColumn="0" w:noHBand="0" w:noVBand="1"/>
            </w:tblPr>
            <w:tblGrid>
              <w:gridCol w:w="2190"/>
              <w:gridCol w:w="2190"/>
              <w:gridCol w:w="2191"/>
              <w:gridCol w:w="2191"/>
              <w:gridCol w:w="2191"/>
            </w:tblGrid>
            <w:tr w:rsidR="00124F3E" w:rsidRPr="008F1773" w:rsidTr="00B17F2F">
              <w:tc>
                <w:tcPr>
                  <w:tcW w:w="2190" w:type="dxa"/>
                  <w:vAlign w:val="center"/>
                </w:tcPr>
                <w:p w:rsidR="00124F3E" w:rsidRPr="00B17F2F" w:rsidRDefault="00124F3E" w:rsidP="00B17F2F">
                  <w:pPr>
                    <w:spacing w:line="276" w:lineRule="auto"/>
                    <w:jc w:val="center"/>
                    <w:rPr>
                      <w:rFonts w:ascii="Times New Roman" w:eastAsia="Calibri" w:hAnsi="Times New Roman" w:cs="Times New Roman"/>
                      <w:b/>
                      <w:szCs w:val="27"/>
                      <w:lang w:val="ro-RO"/>
                    </w:rPr>
                  </w:pPr>
                  <w:r w:rsidRPr="00B17F2F">
                    <w:rPr>
                      <w:rFonts w:ascii="Times New Roman" w:eastAsia="Calibri" w:hAnsi="Times New Roman" w:cs="Times New Roman"/>
                      <w:b/>
                      <w:szCs w:val="27"/>
                      <w:lang w:val="ro-RO"/>
                    </w:rPr>
                    <w:t>Indicator</w:t>
                  </w:r>
                </w:p>
              </w:tc>
              <w:tc>
                <w:tcPr>
                  <w:tcW w:w="2190" w:type="dxa"/>
                  <w:vAlign w:val="center"/>
                </w:tcPr>
                <w:p w:rsidR="00124F3E" w:rsidRPr="00B17F2F" w:rsidRDefault="00124F3E" w:rsidP="00B17F2F">
                  <w:pPr>
                    <w:spacing w:line="276" w:lineRule="auto"/>
                    <w:jc w:val="center"/>
                    <w:rPr>
                      <w:rFonts w:ascii="Times New Roman" w:eastAsia="Calibri" w:hAnsi="Times New Roman" w:cs="Times New Roman"/>
                      <w:b/>
                      <w:szCs w:val="27"/>
                      <w:lang w:val="ro-RO"/>
                    </w:rPr>
                  </w:pPr>
                  <w:r w:rsidRPr="00B17F2F">
                    <w:rPr>
                      <w:rFonts w:ascii="Times New Roman" w:eastAsia="Calibri" w:hAnsi="Times New Roman" w:cs="Times New Roman"/>
                      <w:b/>
                      <w:szCs w:val="27"/>
                      <w:lang w:val="ro-RO"/>
                    </w:rPr>
                    <w:t>U/m</w:t>
                  </w:r>
                </w:p>
              </w:tc>
              <w:tc>
                <w:tcPr>
                  <w:tcW w:w="2191" w:type="dxa"/>
                  <w:vAlign w:val="center"/>
                </w:tcPr>
                <w:p w:rsidR="00124F3E" w:rsidRPr="00B17F2F" w:rsidRDefault="00124F3E" w:rsidP="00B17F2F">
                  <w:pPr>
                    <w:spacing w:line="276" w:lineRule="auto"/>
                    <w:jc w:val="center"/>
                    <w:rPr>
                      <w:rFonts w:ascii="Times New Roman" w:eastAsia="Calibri" w:hAnsi="Times New Roman" w:cs="Times New Roman"/>
                      <w:b/>
                      <w:szCs w:val="27"/>
                      <w:lang w:val="ro-RO"/>
                    </w:rPr>
                  </w:pPr>
                  <w:r w:rsidRPr="00B17F2F">
                    <w:rPr>
                      <w:rFonts w:ascii="Times New Roman" w:eastAsia="Calibri" w:hAnsi="Times New Roman" w:cs="Times New Roman"/>
                      <w:b/>
                      <w:szCs w:val="27"/>
                      <w:lang w:val="ro-RO"/>
                    </w:rPr>
                    <w:t>2021</w:t>
                  </w:r>
                </w:p>
              </w:tc>
              <w:tc>
                <w:tcPr>
                  <w:tcW w:w="2191" w:type="dxa"/>
                  <w:vAlign w:val="center"/>
                </w:tcPr>
                <w:p w:rsidR="00124F3E" w:rsidRPr="00B17F2F" w:rsidRDefault="00124F3E" w:rsidP="00B17F2F">
                  <w:pPr>
                    <w:spacing w:line="276" w:lineRule="auto"/>
                    <w:jc w:val="center"/>
                    <w:rPr>
                      <w:rFonts w:ascii="Times New Roman" w:eastAsia="Calibri" w:hAnsi="Times New Roman" w:cs="Times New Roman"/>
                      <w:b/>
                      <w:szCs w:val="27"/>
                      <w:lang w:val="ro-RO"/>
                    </w:rPr>
                  </w:pPr>
                  <w:r w:rsidRPr="00B17F2F">
                    <w:rPr>
                      <w:rFonts w:ascii="Times New Roman" w:eastAsia="Calibri" w:hAnsi="Times New Roman" w:cs="Times New Roman"/>
                      <w:b/>
                      <w:szCs w:val="27"/>
                      <w:lang w:val="ro-RO"/>
                    </w:rPr>
                    <w:t>2022</w:t>
                  </w:r>
                </w:p>
              </w:tc>
              <w:tc>
                <w:tcPr>
                  <w:tcW w:w="2191" w:type="dxa"/>
                  <w:vAlign w:val="center"/>
                </w:tcPr>
                <w:p w:rsidR="00124F3E" w:rsidRPr="00B17F2F" w:rsidRDefault="00124F3E" w:rsidP="00B17F2F">
                  <w:pPr>
                    <w:spacing w:line="276" w:lineRule="auto"/>
                    <w:jc w:val="center"/>
                    <w:rPr>
                      <w:rFonts w:ascii="Times New Roman" w:eastAsia="Calibri" w:hAnsi="Times New Roman" w:cs="Times New Roman"/>
                      <w:b/>
                      <w:szCs w:val="27"/>
                      <w:lang w:val="ro-RO"/>
                    </w:rPr>
                  </w:pPr>
                  <w:r w:rsidRPr="00B17F2F">
                    <w:rPr>
                      <w:rFonts w:ascii="Times New Roman" w:eastAsia="Calibri" w:hAnsi="Times New Roman" w:cs="Times New Roman"/>
                      <w:b/>
                      <w:szCs w:val="27"/>
                      <w:lang w:val="ro-RO"/>
                    </w:rPr>
                    <w:t>2023</w:t>
                  </w:r>
                </w:p>
              </w:tc>
            </w:tr>
            <w:tr w:rsidR="00B17F2F" w:rsidRPr="008F1773" w:rsidTr="00B17F2F">
              <w:trPr>
                <w:trHeight w:val="170"/>
              </w:trPr>
              <w:tc>
                <w:tcPr>
                  <w:tcW w:w="2190" w:type="dxa"/>
                </w:tcPr>
                <w:p w:rsidR="00B17F2F" w:rsidRPr="008F1773" w:rsidRDefault="00B17F2F" w:rsidP="00B17F2F">
                  <w:pPr>
                    <w:spacing w:line="276" w:lineRule="auto"/>
                    <w:jc w:val="both"/>
                    <w:rPr>
                      <w:rFonts w:ascii="Times New Roman" w:eastAsia="Calibri" w:hAnsi="Times New Roman" w:cs="Times New Roman"/>
                      <w:szCs w:val="27"/>
                      <w:lang w:val="ro-RO"/>
                    </w:rPr>
                  </w:pPr>
                  <w:r>
                    <w:rPr>
                      <w:rFonts w:ascii="Times New Roman" w:eastAsia="Calibri" w:hAnsi="Times New Roman" w:cs="Times New Roman"/>
                      <w:szCs w:val="27"/>
                      <w:lang w:val="ro-RO"/>
                    </w:rPr>
                    <w:t xml:space="preserve">România </w:t>
                  </w:r>
                </w:p>
              </w:tc>
              <w:tc>
                <w:tcPr>
                  <w:tcW w:w="2190" w:type="dxa"/>
                </w:tcPr>
                <w:p w:rsidR="00B17F2F" w:rsidRPr="008F1773" w:rsidRDefault="00B17F2F" w:rsidP="00B17F2F">
                  <w:pPr>
                    <w:spacing w:line="276" w:lineRule="auto"/>
                    <w:jc w:val="both"/>
                    <w:rPr>
                      <w:rFonts w:ascii="Times New Roman" w:eastAsia="Calibri" w:hAnsi="Times New Roman" w:cs="Times New Roman"/>
                      <w:szCs w:val="27"/>
                      <w:lang w:val="ro-RO"/>
                    </w:rPr>
                  </w:pPr>
                  <w:r>
                    <w:rPr>
                      <w:rFonts w:ascii="Times New Roman" w:eastAsia="Calibri" w:hAnsi="Times New Roman" w:cs="Times New Roman"/>
                      <w:szCs w:val="27"/>
                      <w:lang w:val="ro-RO"/>
                    </w:rPr>
                    <w:t>Tone</w:t>
                  </w:r>
                </w:p>
              </w:tc>
              <w:tc>
                <w:tcPr>
                  <w:tcW w:w="2191" w:type="dxa"/>
                  <w:tcBorders>
                    <w:top w:val="nil"/>
                    <w:left w:val="nil"/>
                    <w:bottom w:val="single" w:sz="8" w:space="0" w:color="auto"/>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rPr>
                  </w:pPr>
                  <w:r w:rsidRPr="00B17F2F">
                    <w:rPr>
                      <w:rFonts w:ascii="Times New Roman" w:hAnsi="Times New Roman" w:cs="Times New Roman"/>
                      <w:color w:val="000000"/>
                      <w:sz w:val="24"/>
                    </w:rPr>
                    <w:t>337,35</w:t>
                  </w:r>
                </w:p>
              </w:tc>
              <w:tc>
                <w:tcPr>
                  <w:tcW w:w="2191" w:type="dxa"/>
                  <w:tcBorders>
                    <w:top w:val="nil"/>
                    <w:left w:val="nil"/>
                    <w:bottom w:val="single" w:sz="8" w:space="0" w:color="auto"/>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rPr>
                  </w:pPr>
                  <w:r w:rsidRPr="00B17F2F">
                    <w:rPr>
                      <w:rFonts w:ascii="Times New Roman" w:hAnsi="Times New Roman" w:cs="Times New Roman"/>
                      <w:color w:val="000000"/>
                      <w:sz w:val="24"/>
                    </w:rPr>
                    <w:t>601,11</w:t>
                  </w:r>
                </w:p>
              </w:tc>
              <w:tc>
                <w:tcPr>
                  <w:tcW w:w="2191" w:type="dxa"/>
                  <w:tcBorders>
                    <w:top w:val="nil"/>
                    <w:left w:val="nil"/>
                    <w:bottom w:val="single" w:sz="8" w:space="0" w:color="auto"/>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rPr>
                  </w:pPr>
                  <w:r>
                    <w:rPr>
                      <w:rFonts w:ascii="Times New Roman" w:hAnsi="Times New Roman" w:cs="Times New Roman"/>
                      <w:color w:val="000000"/>
                      <w:sz w:val="24"/>
                    </w:rPr>
                    <w:t>1</w:t>
                  </w:r>
                  <w:r w:rsidRPr="00B17F2F">
                    <w:rPr>
                      <w:rFonts w:ascii="Times New Roman" w:hAnsi="Times New Roman" w:cs="Times New Roman"/>
                      <w:color w:val="000000"/>
                      <w:sz w:val="24"/>
                    </w:rPr>
                    <w:t>522,88</w:t>
                  </w:r>
                </w:p>
              </w:tc>
            </w:tr>
            <w:tr w:rsidR="00B17F2F" w:rsidRPr="008F1773" w:rsidTr="00B17F2F">
              <w:trPr>
                <w:trHeight w:val="170"/>
              </w:trPr>
              <w:tc>
                <w:tcPr>
                  <w:tcW w:w="2190" w:type="dxa"/>
                </w:tcPr>
                <w:p w:rsidR="00B17F2F" w:rsidRPr="008F1773" w:rsidRDefault="00B17F2F" w:rsidP="00B17F2F">
                  <w:pPr>
                    <w:spacing w:line="276" w:lineRule="auto"/>
                    <w:jc w:val="both"/>
                    <w:rPr>
                      <w:rFonts w:ascii="Times New Roman" w:eastAsia="Calibri" w:hAnsi="Times New Roman" w:cs="Times New Roman"/>
                      <w:szCs w:val="27"/>
                      <w:lang w:val="ro-RO"/>
                    </w:rPr>
                  </w:pPr>
                  <w:r>
                    <w:rPr>
                      <w:rFonts w:ascii="Times New Roman" w:eastAsia="Calibri" w:hAnsi="Times New Roman" w:cs="Times New Roman"/>
                      <w:szCs w:val="27"/>
                      <w:lang w:val="ro-RO"/>
                    </w:rPr>
                    <w:t>Albania</w:t>
                  </w:r>
                </w:p>
              </w:tc>
              <w:tc>
                <w:tcPr>
                  <w:tcW w:w="2190" w:type="dxa"/>
                </w:tcPr>
                <w:p w:rsidR="00B17F2F" w:rsidRPr="008F1773" w:rsidRDefault="00B17F2F" w:rsidP="00B17F2F">
                  <w:pPr>
                    <w:spacing w:line="276" w:lineRule="auto"/>
                    <w:jc w:val="both"/>
                    <w:rPr>
                      <w:rFonts w:ascii="Times New Roman" w:eastAsia="Calibri" w:hAnsi="Times New Roman" w:cs="Times New Roman"/>
                      <w:szCs w:val="27"/>
                      <w:lang w:val="ro-RO"/>
                    </w:rPr>
                  </w:pPr>
                  <w:r>
                    <w:rPr>
                      <w:rFonts w:ascii="Times New Roman" w:eastAsia="Calibri" w:hAnsi="Times New Roman" w:cs="Times New Roman"/>
                      <w:szCs w:val="27"/>
                      <w:lang w:val="ro-RO"/>
                    </w:rPr>
                    <w:t>Tone</w:t>
                  </w:r>
                </w:p>
              </w:tc>
              <w:tc>
                <w:tcPr>
                  <w:tcW w:w="2191" w:type="dxa"/>
                  <w:tcBorders>
                    <w:top w:val="nil"/>
                    <w:left w:val="nil"/>
                    <w:bottom w:val="single" w:sz="8" w:space="0" w:color="auto"/>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rPr>
                  </w:pPr>
                  <w:r w:rsidRPr="00B17F2F">
                    <w:rPr>
                      <w:rFonts w:ascii="Times New Roman" w:hAnsi="Times New Roman" w:cs="Times New Roman"/>
                      <w:color w:val="000000"/>
                      <w:sz w:val="24"/>
                    </w:rPr>
                    <w:t>231,74</w:t>
                  </w:r>
                </w:p>
              </w:tc>
              <w:tc>
                <w:tcPr>
                  <w:tcW w:w="2191" w:type="dxa"/>
                  <w:tcBorders>
                    <w:top w:val="nil"/>
                    <w:left w:val="nil"/>
                    <w:bottom w:val="single" w:sz="8" w:space="0" w:color="auto"/>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rPr>
                  </w:pPr>
                  <w:r w:rsidRPr="00B17F2F">
                    <w:rPr>
                      <w:rFonts w:ascii="Times New Roman" w:hAnsi="Times New Roman" w:cs="Times New Roman"/>
                      <w:color w:val="000000"/>
                      <w:sz w:val="24"/>
                    </w:rPr>
                    <w:t>241,50</w:t>
                  </w:r>
                </w:p>
              </w:tc>
              <w:tc>
                <w:tcPr>
                  <w:tcW w:w="2191" w:type="dxa"/>
                  <w:tcBorders>
                    <w:top w:val="nil"/>
                    <w:left w:val="nil"/>
                    <w:bottom w:val="single" w:sz="8" w:space="0" w:color="auto"/>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rPr>
                  </w:pPr>
                  <w:r w:rsidRPr="00B17F2F">
                    <w:rPr>
                      <w:rFonts w:ascii="Times New Roman" w:hAnsi="Times New Roman" w:cs="Times New Roman"/>
                      <w:color w:val="000000"/>
                      <w:sz w:val="24"/>
                    </w:rPr>
                    <w:t>650,20</w:t>
                  </w:r>
                </w:p>
              </w:tc>
            </w:tr>
            <w:tr w:rsidR="00B17F2F" w:rsidRPr="008F1773" w:rsidTr="00B17F2F">
              <w:trPr>
                <w:trHeight w:val="170"/>
              </w:trPr>
              <w:tc>
                <w:tcPr>
                  <w:tcW w:w="2190" w:type="dxa"/>
                </w:tcPr>
                <w:p w:rsidR="00B17F2F" w:rsidRPr="008F1773" w:rsidRDefault="00B17F2F" w:rsidP="00B17F2F">
                  <w:pPr>
                    <w:spacing w:line="276" w:lineRule="auto"/>
                    <w:jc w:val="both"/>
                    <w:rPr>
                      <w:rFonts w:ascii="Times New Roman" w:eastAsia="Calibri" w:hAnsi="Times New Roman" w:cs="Times New Roman"/>
                      <w:szCs w:val="27"/>
                      <w:lang w:val="ro-RO"/>
                    </w:rPr>
                  </w:pPr>
                  <w:r>
                    <w:rPr>
                      <w:rFonts w:ascii="Times New Roman" w:eastAsia="Calibri" w:hAnsi="Times New Roman" w:cs="Times New Roman"/>
                      <w:szCs w:val="27"/>
                      <w:lang w:val="ro-RO"/>
                    </w:rPr>
                    <w:t>Irak</w:t>
                  </w:r>
                </w:p>
              </w:tc>
              <w:tc>
                <w:tcPr>
                  <w:tcW w:w="2190" w:type="dxa"/>
                </w:tcPr>
                <w:p w:rsidR="00B17F2F" w:rsidRPr="008F1773" w:rsidRDefault="00B17F2F" w:rsidP="00B17F2F">
                  <w:pPr>
                    <w:spacing w:line="276" w:lineRule="auto"/>
                    <w:jc w:val="both"/>
                    <w:rPr>
                      <w:rFonts w:ascii="Times New Roman" w:eastAsia="Calibri" w:hAnsi="Times New Roman" w:cs="Times New Roman"/>
                      <w:szCs w:val="27"/>
                      <w:lang w:val="ro-RO"/>
                    </w:rPr>
                  </w:pPr>
                  <w:r>
                    <w:rPr>
                      <w:rFonts w:ascii="Times New Roman" w:eastAsia="Calibri" w:hAnsi="Times New Roman" w:cs="Times New Roman"/>
                      <w:szCs w:val="27"/>
                      <w:lang w:val="ro-RO"/>
                    </w:rPr>
                    <w:t>Tone</w:t>
                  </w:r>
                </w:p>
              </w:tc>
              <w:tc>
                <w:tcPr>
                  <w:tcW w:w="2191" w:type="dxa"/>
                  <w:tcBorders>
                    <w:top w:val="nil"/>
                    <w:left w:val="nil"/>
                    <w:bottom w:val="single" w:sz="8" w:space="0" w:color="auto"/>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rPr>
                  </w:pPr>
                  <w:r w:rsidRPr="00B17F2F">
                    <w:rPr>
                      <w:rFonts w:ascii="Times New Roman" w:hAnsi="Times New Roman" w:cs="Times New Roman"/>
                      <w:color w:val="000000"/>
                      <w:sz w:val="24"/>
                    </w:rPr>
                    <w:t>21,00</w:t>
                  </w:r>
                </w:p>
              </w:tc>
              <w:tc>
                <w:tcPr>
                  <w:tcW w:w="2191" w:type="dxa"/>
                  <w:tcBorders>
                    <w:top w:val="nil"/>
                    <w:left w:val="nil"/>
                    <w:bottom w:val="single" w:sz="8" w:space="0" w:color="auto"/>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rPr>
                  </w:pPr>
                  <w:r w:rsidRPr="00B17F2F">
                    <w:rPr>
                      <w:rFonts w:ascii="Times New Roman" w:hAnsi="Times New Roman" w:cs="Times New Roman"/>
                      <w:color w:val="000000"/>
                      <w:sz w:val="24"/>
                    </w:rPr>
                    <w:t>47,00</w:t>
                  </w:r>
                </w:p>
              </w:tc>
              <w:tc>
                <w:tcPr>
                  <w:tcW w:w="2191" w:type="dxa"/>
                  <w:tcBorders>
                    <w:top w:val="nil"/>
                    <w:left w:val="nil"/>
                    <w:bottom w:val="single" w:sz="8" w:space="0" w:color="auto"/>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rPr>
                  </w:pPr>
                  <w:r w:rsidRPr="00B17F2F">
                    <w:rPr>
                      <w:rFonts w:ascii="Times New Roman" w:hAnsi="Times New Roman" w:cs="Times New Roman"/>
                      <w:color w:val="000000"/>
                      <w:sz w:val="24"/>
                    </w:rPr>
                    <w:t>306,50</w:t>
                  </w:r>
                </w:p>
              </w:tc>
            </w:tr>
            <w:tr w:rsidR="00B17F2F" w:rsidRPr="008F1773" w:rsidTr="00B17F2F">
              <w:trPr>
                <w:trHeight w:val="170"/>
              </w:trPr>
              <w:tc>
                <w:tcPr>
                  <w:tcW w:w="2190" w:type="dxa"/>
                </w:tcPr>
                <w:p w:rsidR="00B17F2F" w:rsidRDefault="00B17F2F" w:rsidP="00B17F2F">
                  <w:pPr>
                    <w:spacing w:line="276" w:lineRule="auto"/>
                    <w:jc w:val="both"/>
                    <w:rPr>
                      <w:rFonts w:ascii="Times New Roman" w:eastAsia="Calibri" w:hAnsi="Times New Roman" w:cs="Times New Roman"/>
                      <w:szCs w:val="27"/>
                      <w:lang w:val="ro-RO"/>
                    </w:rPr>
                  </w:pPr>
                  <w:r>
                    <w:rPr>
                      <w:rFonts w:ascii="Times New Roman" w:eastAsia="Calibri" w:hAnsi="Times New Roman" w:cs="Times New Roman"/>
                      <w:sz w:val="24"/>
                      <w:szCs w:val="27"/>
                      <w:lang w:val="ro-RO"/>
                    </w:rPr>
                    <w:t>Italia</w:t>
                  </w:r>
                </w:p>
              </w:tc>
              <w:tc>
                <w:tcPr>
                  <w:tcW w:w="2190" w:type="dxa"/>
                </w:tcPr>
                <w:p w:rsidR="00B17F2F" w:rsidRDefault="00B17F2F" w:rsidP="00B17F2F">
                  <w:pPr>
                    <w:spacing w:line="276" w:lineRule="auto"/>
                    <w:jc w:val="both"/>
                    <w:rPr>
                      <w:rFonts w:ascii="Times New Roman" w:eastAsia="Calibri" w:hAnsi="Times New Roman" w:cs="Times New Roman"/>
                      <w:szCs w:val="27"/>
                      <w:lang w:val="ro-RO"/>
                    </w:rPr>
                  </w:pPr>
                  <w:r w:rsidRPr="00B17F2F">
                    <w:rPr>
                      <w:rFonts w:ascii="Times New Roman" w:eastAsia="Calibri" w:hAnsi="Times New Roman" w:cs="Times New Roman"/>
                      <w:szCs w:val="27"/>
                      <w:lang w:val="ro-RO"/>
                    </w:rPr>
                    <w:t>Tone</w:t>
                  </w:r>
                </w:p>
              </w:tc>
              <w:tc>
                <w:tcPr>
                  <w:tcW w:w="2191" w:type="dxa"/>
                  <w:tcBorders>
                    <w:top w:val="nil"/>
                    <w:left w:val="nil"/>
                    <w:bottom w:val="single" w:sz="8" w:space="0" w:color="auto"/>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rPr>
                  </w:pPr>
                  <w:r w:rsidRPr="00B17F2F">
                    <w:rPr>
                      <w:rFonts w:ascii="Times New Roman" w:hAnsi="Times New Roman" w:cs="Times New Roman"/>
                      <w:color w:val="000000"/>
                      <w:sz w:val="24"/>
                    </w:rPr>
                    <w:t>257,46</w:t>
                  </w:r>
                </w:p>
              </w:tc>
              <w:tc>
                <w:tcPr>
                  <w:tcW w:w="2191" w:type="dxa"/>
                  <w:tcBorders>
                    <w:top w:val="nil"/>
                    <w:left w:val="nil"/>
                    <w:bottom w:val="single" w:sz="8" w:space="0" w:color="auto"/>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rPr>
                  </w:pPr>
                  <w:r w:rsidRPr="00B17F2F">
                    <w:rPr>
                      <w:rFonts w:ascii="Times New Roman" w:hAnsi="Times New Roman" w:cs="Times New Roman"/>
                      <w:color w:val="000000"/>
                      <w:sz w:val="24"/>
                    </w:rPr>
                    <w:t>135,94</w:t>
                  </w:r>
                </w:p>
              </w:tc>
              <w:tc>
                <w:tcPr>
                  <w:tcW w:w="2191" w:type="dxa"/>
                  <w:tcBorders>
                    <w:top w:val="nil"/>
                    <w:left w:val="nil"/>
                    <w:bottom w:val="single" w:sz="8" w:space="0" w:color="auto"/>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rPr>
                  </w:pPr>
                  <w:r w:rsidRPr="00B17F2F">
                    <w:rPr>
                      <w:rFonts w:ascii="Times New Roman" w:hAnsi="Times New Roman" w:cs="Times New Roman"/>
                      <w:color w:val="000000"/>
                      <w:sz w:val="24"/>
                    </w:rPr>
                    <w:t>408,33</w:t>
                  </w:r>
                </w:p>
              </w:tc>
            </w:tr>
            <w:tr w:rsidR="00B17F2F" w:rsidRPr="008F1773" w:rsidTr="00B17F2F">
              <w:trPr>
                <w:trHeight w:val="170"/>
              </w:trPr>
              <w:tc>
                <w:tcPr>
                  <w:tcW w:w="2190" w:type="dxa"/>
                </w:tcPr>
                <w:p w:rsidR="00B17F2F" w:rsidRDefault="00B17F2F" w:rsidP="00B17F2F">
                  <w:pPr>
                    <w:spacing w:line="276" w:lineRule="auto"/>
                    <w:jc w:val="both"/>
                    <w:rPr>
                      <w:rFonts w:ascii="Times New Roman" w:eastAsia="Calibri" w:hAnsi="Times New Roman" w:cs="Times New Roman"/>
                      <w:szCs w:val="27"/>
                      <w:lang w:val="ro-RO"/>
                    </w:rPr>
                  </w:pPr>
                  <w:r>
                    <w:rPr>
                      <w:rFonts w:ascii="Times New Roman" w:eastAsia="Calibri" w:hAnsi="Times New Roman" w:cs="Times New Roman"/>
                      <w:szCs w:val="27"/>
                      <w:lang w:val="ro-RO"/>
                    </w:rPr>
                    <w:t>Turcia</w:t>
                  </w:r>
                </w:p>
              </w:tc>
              <w:tc>
                <w:tcPr>
                  <w:tcW w:w="2190" w:type="dxa"/>
                </w:tcPr>
                <w:p w:rsidR="00B17F2F" w:rsidRDefault="00B17F2F" w:rsidP="00B17F2F">
                  <w:pPr>
                    <w:spacing w:line="276" w:lineRule="auto"/>
                    <w:jc w:val="both"/>
                    <w:rPr>
                      <w:rFonts w:ascii="Times New Roman" w:eastAsia="Calibri" w:hAnsi="Times New Roman" w:cs="Times New Roman"/>
                      <w:szCs w:val="27"/>
                      <w:lang w:val="ro-RO"/>
                    </w:rPr>
                  </w:pPr>
                  <w:r w:rsidRPr="00B17F2F">
                    <w:rPr>
                      <w:rFonts w:ascii="Times New Roman" w:eastAsia="Calibri" w:hAnsi="Times New Roman" w:cs="Times New Roman"/>
                      <w:szCs w:val="27"/>
                      <w:lang w:val="ro-RO"/>
                    </w:rPr>
                    <w:t>Tone</w:t>
                  </w:r>
                </w:p>
              </w:tc>
              <w:tc>
                <w:tcPr>
                  <w:tcW w:w="2191" w:type="dxa"/>
                  <w:tcBorders>
                    <w:top w:val="nil"/>
                    <w:left w:val="nil"/>
                    <w:bottom w:val="single" w:sz="8" w:space="0" w:color="auto"/>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rPr>
                  </w:pPr>
                  <w:r w:rsidRPr="00B17F2F">
                    <w:rPr>
                      <w:rFonts w:ascii="Times New Roman" w:hAnsi="Times New Roman" w:cs="Times New Roman"/>
                      <w:color w:val="000000"/>
                      <w:sz w:val="24"/>
                    </w:rPr>
                    <w:t>347,77</w:t>
                  </w:r>
                </w:p>
              </w:tc>
              <w:tc>
                <w:tcPr>
                  <w:tcW w:w="2191" w:type="dxa"/>
                  <w:tcBorders>
                    <w:top w:val="nil"/>
                    <w:left w:val="nil"/>
                    <w:bottom w:val="single" w:sz="8" w:space="0" w:color="auto"/>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rPr>
                  </w:pPr>
                  <w:r w:rsidRPr="00B17F2F">
                    <w:rPr>
                      <w:rFonts w:ascii="Times New Roman" w:hAnsi="Times New Roman" w:cs="Times New Roman"/>
                      <w:color w:val="000000"/>
                      <w:sz w:val="24"/>
                    </w:rPr>
                    <w:t>1614,93</w:t>
                  </w:r>
                </w:p>
              </w:tc>
              <w:tc>
                <w:tcPr>
                  <w:tcW w:w="2191" w:type="dxa"/>
                  <w:tcBorders>
                    <w:top w:val="nil"/>
                    <w:left w:val="nil"/>
                    <w:bottom w:val="single" w:sz="8" w:space="0" w:color="auto"/>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rPr>
                  </w:pPr>
                  <w:r>
                    <w:rPr>
                      <w:rFonts w:ascii="Times New Roman" w:hAnsi="Times New Roman" w:cs="Times New Roman"/>
                      <w:color w:val="000000"/>
                      <w:sz w:val="24"/>
                    </w:rPr>
                    <w:t>1</w:t>
                  </w:r>
                  <w:r w:rsidRPr="00B17F2F">
                    <w:rPr>
                      <w:rFonts w:ascii="Times New Roman" w:hAnsi="Times New Roman" w:cs="Times New Roman"/>
                      <w:color w:val="000000"/>
                      <w:sz w:val="24"/>
                    </w:rPr>
                    <w:t>931,72</w:t>
                  </w:r>
                </w:p>
              </w:tc>
            </w:tr>
            <w:tr w:rsidR="00B17F2F" w:rsidRPr="008F1773" w:rsidTr="00B17F2F">
              <w:trPr>
                <w:trHeight w:val="170"/>
              </w:trPr>
              <w:tc>
                <w:tcPr>
                  <w:tcW w:w="2190" w:type="dxa"/>
                </w:tcPr>
                <w:p w:rsidR="00B17F2F" w:rsidRDefault="00B17F2F" w:rsidP="00B17F2F">
                  <w:pPr>
                    <w:spacing w:line="276" w:lineRule="auto"/>
                    <w:jc w:val="both"/>
                    <w:rPr>
                      <w:rFonts w:ascii="Times New Roman" w:eastAsia="Calibri" w:hAnsi="Times New Roman" w:cs="Times New Roman"/>
                      <w:szCs w:val="27"/>
                      <w:lang w:val="ro-RO"/>
                    </w:rPr>
                  </w:pPr>
                  <w:r>
                    <w:rPr>
                      <w:rFonts w:ascii="Times New Roman" w:eastAsia="Calibri" w:hAnsi="Times New Roman" w:cs="Times New Roman"/>
                      <w:szCs w:val="27"/>
                      <w:lang w:val="ro-RO"/>
                    </w:rPr>
                    <w:t>Uzbekistan</w:t>
                  </w:r>
                </w:p>
              </w:tc>
              <w:tc>
                <w:tcPr>
                  <w:tcW w:w="2190" w:type="dxa"/>
                </w:tcPr>
                <w:p w:rsidR="00B17F2F" w:rsidRDefault="00B17F2F" w:rsidP="00B17F2F">
                  <w:pPr>
                    <w:spacing w:line="276" w:lineRule="auto"/>
                    <w:jc w:val="both"/>
                    <w:rPr>
                      <w:rFonts w:ascii="Times New Roman" w:eastAsia="Calibri" w:hAnsi="Times New Roman" w:cs="Times New Roman"/>
                      <w:szCs w:val="27"/>
                      <w:lang w:val="ro-RO"/>
                    </w:rPr>
                  </w:pPr>
                  <w:r w:rsidRPr="00B17F2F">
                    <w:rPr>
                      <w:rFonts w:ascii="Times New Roman" w:eastAsia="Calibri" w:hAnsi="Times New Roman" w:cs="Times New Roman"/>
                      <w:szCs w:val="27"/>
                      <w:lang w:val="ro-RO"/>
                    </w:rPr>
                    <w:t>Tone</w:t>
                  </w:r>
                </w:p>
              </w:tc>
              <w:tc>
                <w:tcPr>
                  <w:tcW w:w="2191" w:type="dxa"/>
                  <w:tcBorders>
                    <w:top w:val="nil"/>
                    <w:left w:val="nil"/>
                    <w:bottom w:val="single" w:sz="8" w:space="0" w:color="auto"/>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rPr>
                  </w:pPr>
                </w:p>
              </w:tc>
              <w:tc>
                <w:tcPr>
                  <w:tcW w:w="2191" w:type="dxa"/>
                  <w:tcBorders>
                    <w:top w:val="nil"/>
                    <w:left w:val="nil"/>
                    <w:bottom w:val="single" w:sz="8" w:space="0" w:color="auto"/>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rPr>
                  </w:pPr>
                  <w:r w:rsidRPr="00B17F2F">
                    <w:rPr>
                      <w:rFonts w:ascii="Times New Roman" w:hAnsi="Times New Roman" w:cs="Times New Roman"/>
                      <w:color w:val="000000"/>
                      <w:sz w:val="24"/>
                    </w:rPr>
                    <w:t>44,00</w:t>
                  </w:r>
                </w:p>
              </w:tc>
              <w:tc>
                <w:tcPr>
                  <w:tcW w:w="2191" w:type="dxa"/>
                  <w:tcBorders>
                    <w:top w:val="nil"/>
                    <w:left w:val="nil"/>
                    <w:bottom w:val="single" w:sz="8" w:space="0" w:color="auto"/>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rPr>
                  </w:pPr>
                  <w:r w:rsidRPr="00B17F2F">
                    <w:rPr>
                      <w:rFonts w:ascii="Times New Roman" w:hAnsi="Times New Roman" w:cs="Times New Roman"/>
                      <w:color w:val="000000"/>
                      <w:sz w:val="24"/>
                    </w:rPr>
                    <w:t>246,20</w:t>
                  </w:r>
                </w:p>
              </w:tc>
            </w:tr>
            <w:tr w:rsidR="00B17F2F" w:rsidRPr="008F1773" w:rsidTr="00B17F2F">
              <w:trPr>
                <w:trHeight w:val="170"/>
              </w:trPr>
              <w:tc>
                <w:tcPr>
                  <w:tcW w:w="2190" w:type="dxa"/>
                </w:tcPr>
                <w:p w:rsidR="00B17F2F" w:rsidRDefault="00B17F2F" w:rsidP="00B17F2F">
                  <w:pPr>
                    <w:spacing w:line="276" w:lineRule="auto"/>
                    <w:jc w:val="both"/>
                    <w:rPr>
                      <w:rFonts w:ascii="Times New Roman" w:eastAsia="Calibri" w:hAnsi="Times New Roman" w:cs="Times New Roman"/>
                      <w:szCs w:val="27"/>
                      <w:lang w:val="ro-RO"/>
                    </w:rPr>
                  </w:pPr>
                  <w:r>
                    <w:rPr>
                      <w:rFonts w:ascii="Times New Roman" w:eastAsia="Calibri" w:hAnsi="Times New Roman" w:cs="Times New Roman"/>
                      <w:szCs w:val="27"/>
                      <w:lang w:val="ro-RO"/>
                    </w:rPr>
                    <w:t>Austria</w:t>
                  </w:r>
                </w:p>
              </w:tc>
              <w:tc>
                <w:tcPr>
                  <w:tcW w:w="2190" w:type="dxa"/>
                </w:tcPr>
                <w:p w:rsidR="00B17F2F" w:rsidRDefault="00B17F2F" w:rsidP="00B17F2F">
                  <w:pPr>
                    <w:spacing w:line="276" w:lineRule="auto"/>
                    <w:jc w:val="both"/>
                    <w:rPr>
                      <w:rFonts w:ascii="Times New Roman" w:eastAsia="Calibri" w:hAnsi="Times New Roman" w:cs="Times New Roman"/>
                      <w:szCs w:val="27"/>
                      <w:lang w:val="ro-RO"/>
                    </w:rPr>
                  </w:pPr>
                  <w:r w:rsidRPr="00B17F2F">
                    <w:rPr>
                      <w:rFonts w:ascii="Times New Roman" w:eastAsia="Calibri" w:hAnsi="Times New Roman" w:cs="Times New Roman"/>
                      <w:szCs w:val="27"/>
                      <w:lang w:val="ro-RO"/>
                    </w:rPr>
                    <w:t>Tone</w:t>
                  </w:r>
                </w:p>
              </w:tc>
              <w:tc>
                <w:tcPr>
                  <w:tcW w:w="2191" w:type="dxa"/>
                  <w:tcBorders>
                    <w:top w:val="nil"/>
                    <w:left w:val="nil"/>
                    <w:bottom w:val="single" w:sz="8" w:space="0" w:color="auto"/>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rPr>
                  </w:pPr>
                  <w:r w:rsidRPr="00B17F2F">
                    <w:rPr>
                      <w:rFonts w:ascii="Times New Roman" w:hAnsi="Times New Roman" w:cs="Times New Roman"/>
                      <w:color w:val="000000"/>
                      <w:sz w:val="24"/>
                    </w:rPr>
                    <w:t>343,75</w:t>
                  </w:r>
                </w:p>
              </w:tc>
              <w:tc>
                <w:tcPr>
                  <w:tcW w:w="2191" w:type="dxa"/>
                  <w:tcBorders>
                    <w:top w:val="nil"/>
                    <w:left w:val="nil"/>
                    <w:bottom w:val="single" w:sz="8" w:space="0" w:color="auto"/>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rPr>
                  </w:pPr>
                  <w:r w:rsidRPr="00B17F2F">
                    <w:rPr>
                      <w:rFonts w:ascii="Times New Roman" w:hAnsi="Times New Roman" w:cs="Times New Roman"/>
                      <w:color w:val="000000"/>
                      <w:sz w:val="24"/>
                    </w:rPr>
                    <w:t>225,14</w:t>
                  </w:r>
                </w:p>
              </w:tc>
              <w:tc>
                <w:tcPr>
                  <w:tcW w:w="2191" w:type="dxa"/>
                  <w:tcBorders>
                    <w:top w:val="nil"/>
                    <w:left w:val="nil"/>
                    <w:bottom w:val="single" w:sz="8" w:space="0" w:color="auto"/>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rPr>
                  </w:pPr>
                  <w:r w:rsidRPr="00B17F2F">
                    <w:rPr>
                      <w:rFonts w:ascii="Times New Roman" w:hAnsi="Times New Roman" w:cs="Times New Roman"/>
                      <w:color w:val="000000"/>
                      <w:sz w:val="24"/>
                    </w:rPr>
                    <w:t>228,70</w:t>
                  </w:r>
                </w:p>
              </w:tc>
            </w:tr>
            <w:tr w:rsidR="00B17F2F" w:rsidRPr="008F1773" w:rsidTr="00B17F2F">
              <w:trPr>
                <w:trHeight w:val="170"/>
              </w:trPr>
              <w:tc>
                <w:tcPr>
                  <w:tcW w:w="2190" w:type="dxa"/>
                </w:tcPr>
                <w:p w:rsidR="00B17F2F" w:rsidRDefault="00B17F2F" w:rsidP="00B17F2F">
                  <w:pPr>
                    <w:spacing w:line="276" w:lineRule="auto"/>
                    <w:jc w:val="both"/>
                    <w:rPr>
                      <w:rFonts w:ascii="Times New Roman" w:eastAsia="Calibri" w:hAnsi="Times New Roman" w:cs="Times New Roman"/>
                      <w:szCs w:val="27"/>
                      <w:lang w:val="ro-RO"/>
                    </w:rPr>
                  </w:pPr>
                  <w:r>
                    <w:rPr>
                      <w:rFonts w:ascii="Times New Roman" w:eastAsia="Calibri" w:hAnsi="Times New Roman" w:cs="Times New Roman"/>
                      <w:szCs w:val="27"/>
                      <w:lang w:val="ro-RO"/>
                    </w:rPr>
                    <w:lastRenderedPageBreak/>
                    <w:t>Bosnia și Herțegovina</w:t>
                  </w:r>
                </w:p>
              </w:tc>
              <w:tc>
                <w:tcPr>
                  <w:tcW w:w="2190" w:type="dxa"/>
                </w:tcPr>
                <w:p w:rsidR="00B17F2F" w:rsidRDefault="00B17F2F" w:rsidP="00B17F2F">
                  <w:pPr>
                    <w:spacing w:line="276" w:lineRule="auto"/>
                    <w:jc w:val="both"/>
                    <w:rPr>
                      <w:rFonts w:ascii="Times New Roman" w:eastAsia="Calibri" w:hAnsi="Times New Roman" w:cs="Times New Roman"/>
                      <w:szCs w:val="27"/>
                      <w:lang w:val="ro-RO"/>
                    </w:rPr>
                  </w:pPr>
                  <w:r w:rsidRPr="00B17F2F">
                    <w:rPr>
                      <w:rFonts w:ascii="Times New Roman" w:eastAsia="Calibri" w:hAnsi="Times New Roman" w:cs="Times New Roman"/>
                      <w:szCs w:val="27"/>
                      <w:lang w:val="ro-RO"/>
                    </w:rPr>
                    <w:t>Tone</w:t>
                  </w:r>
                </w:p>
              </w:tc>
              <w:tc>
                <w:tcPr>
                  <w:tcW w:w="2191" w:type="dxa"/>
                  <w:tcBorders>
                    <w:top w:val="nil"/>
                    <w:left w:val="nil"/>
                    <w:bottom w:val="single" w:sz="8" w:space="0" w:color="auto"/>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rPr>
                  </w:pPr>
                  <w:r w:rsidRPr="00B17F2F">
                    <w:rPr>
                      <w:rFonts w:ascii="Times New Roman" w:hAnsi="Times New Roman" w:cs="Times New Roman"/>
                      <w:color w:val="000000"/>
                      <w:sz w:val="24"/>
                    </w:rPr>
                    <w:t>21,00</w:t>
                  </w:r>
                </w:p>
              </w:tc>
              <w:tc>
                <w:tcPr>
                  <w:tcW w:w="2191" w:type="dxa"/>
                  <w:tcBorders>
                    <w:top w:val="nil"/>
                    <w:left w:val="nil"/>
                    <w:bottom w:val="single" w:sz="8" w:space="0" w:color="auto"/>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rPr>
                  </w:pPr>
                  <w:r w:rsidRPr="00B17F2F">
                    <w:rPr>
                      <w:rFonts w:ascii="Times New Roman" w:hAnsi="Times New Roman" w:cs="Times New Roman"/>
                      <w:color w:val="000000"/>
                      <w:sz w:val="24"/>
                    </w:rPr>
                    <w:t>40,00</w:t>
                  </w:r>
                </w:p>
              </w:tc>
              <w:tc>
                <w:tcPr>
                  <w:tcW w:w="2191" w:type="dxa"/>
                  <w:tcBorders>
                    <w:top w:val="nil"/>
                    <w:left w:val="nil"/>
                    <w:bottom w:val="single" w:sz="8" w:space="0" w:color="auto"/>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rPr>
                  </w:pPr>
                  <w:r w:rsidRPr="00B17F2F">
                    <w:rPr>
                      <w:rFonts w:ascii="Times New Roman" w:hAnsi="Times New Roman" w:cs="Times New Roman"/>
                      <w:color w:val="000000"/>
                      <w:sz w:val="24"/>
                    </w:rPr>
                    <w:t>160,00</w:t>
                  </w:r>
                </w:p>
              </w:tc>
            </w:tr>
            <w:tr w:rsidR="00B17F2F" w:rsidRPr="008F1773" w:rsidTr="00B17F2F">
              <w:trPr>
                <w:trHeight w:val="170"/>
              </w:trPr>
              <w:tc>
                <w:tcPr>
                  <w:tcW w:w="2190" w:type="dxa"/>
                </w:tcPr>
                <w:p w:rsidR="00B17F2F" w:rsidRDefault="00B17F2F" w:rsidP="00B17F2F">
                  <w:pPr>
                    <w:spacing w:line="276" w:lineRule="auto"/>
                    <w:jc w:val="both"/>
                    <w:rPr>
                      <w:rFonts w:ascii="Times New Roman" w:eastAsia="Calibri" w:hAnsi="Times New Roman" w:cs="Times New Roman"/>
                      <w:szCs w:val="27"/>
                      <w:lang w:val="ro-RO"/>
                    </w:rPr>
                  </w:pPr>
                  <w:r>
                    <w:rPr>
                      <w:rFonts w:ascii="Times New Roman" w:eastAsia="Calibri" w:hAnsi="Times New Roman" w:cs="Times New Roman"/>
                      <w:szCs w:val="27"/>
                      <w:lang w:val="ro-RO"/>
                    </w:rPr>
                    <w:t>Belgia</w:t>
                  </w:r>
                </w:p>
              </w:tc>
              <w:tc>
                <w:tcPr>
                  <w:tcW w:w="2190" w:type="dxa"/>
                </w:tcPr>
                <w:p w:rsidR="00B17F2F" w:rsidRDefault="00B17F2F" w:rsidP="00B17F2F">
                  <w:pPr>
                    <w:spacing w:line="276" w:lineRule="auto"/>
                    <w:jc w:val="both"/>
                    <w:rPr>
                      <w:rFonts w:ascii="Times New Roman" w:eastAsia="Calibri" w:hAnsi="Times New Roman" w:cs="Times New Roman"/>
                      <w:szCs w:val="27"/>
                      <w:lang w:val="ro-RO"/>
                    </w:rPr>
                  </w:pPr>
                  <w:r w:rsidRPr="00B17F2F">
                    <w:rPr>
                      <w:rFonts w:ascii="Times New Roman" w:eastAsia="Calibri" w:hAnsi="Times New Roman" w:cs="Times New Roman"/>
                      <w:szCs w:val="27"/>
                      <w:lang w:val="ro-RO"/>
                    </w:rPr>
                    <w:t>Tone</w:t>
                  </w:r>
                </w:p>
              </w:tc>
              <w:tc>
                <w:tcPr>
                  <w:tcW w:w="2191" w:type="dxa"/>
                  <w:tcBorders>
                    <w:top w:val="nil"/>
                    <w:left w:val="nil"/>
                    <w:bottom w:val="single" w:sz="8" w:space="0" w:color="auto"/>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rPr>
                  </w:pPr>
                  <w:r w:rsidRPr="00B17F2F">
                    <w:rPr>
                      <w:rFonts w:ascii="Times New Roman" w:hAnsi="Times New Roman" w:cs="Times New Roman"/>
                      <w:color w:val="000000"/>
                      <w:sz w:val="24"/>
                    </w:rPr>
                    <w:t>65,40</w:t>
                  </w:r>
                </w:p>
              </w:tc>
              <w:tc>
                <w:tcPr>
                  <w:tcW w:w="2191" w:type="dxa"/>
                  <w:tcBorders>
                    <w:top w:val="nil"/>
                    <w:left w:val="nil"/>
                    <w:bottom w:val="single" w:sz="8" w:space="0" w:color="auto"/>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rPr>
                  </w:pPr>
                </w:p>
              </w:tc>
              <w:tc>
                <w:tcPr>
                  <w:tcW w:w="2191" w:type="dxa"/>
                  <w:tcBorders>
                    <w:top w:val="nil"/>
                    <w:left w:val="nil"/>
                    <w:bottom w:val="single" w:sz="8" w:space="0" w:color="auto"/>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lang w:val="en-GB"/>
                    </w:rPr>
                  </w:pPr>
                  <w:r w:rsidRPr="00B17F2F">
                    <w:rPr>
                      <w:rFonts w:ascii="Times New Roman" w:hAnsi="Times New Roman" w:cs="Times New Roman"/>
                      <w:color w:val="000000"/>
                      <w:sz w:val="24"/>
                      <w:lang w:val="en-GB"/>
                    </w:rPr>
                    <w:t>131,80</w:t>
                  </w:r>
                </w:p>
              </w:tc>
            </w:tr>
            <w:tr w:rsidR="00B17F2F" w:rsidRPr="008F1773" w:rsidTr="00B17F2F">
              <w:trPr>
                <w:trHeight w:val="170"/>
              </w:trPr>
              <w:tc>
                <w:tcPr>
                  <w:tcW w:w="2190" w:type="dxa"/>
                </w:tcPr>
                <w:p w:rsidR="00B17F2F" w:rsidRDefault="00B17F2F" w:rsidP="00B17F2F">
                  <w:pPr>
                    <w:spacing w:line="276" w:lineRule="auto"/>
                    <w:jc w:val="both"/>
                    <w:rPr>
                      <w:rFonts w:ascii="Times New Roman" w:eastAsia="Calibri" w:hAnsi="Times New Roman" w:cs="Times New Roman"/>
                      <w:szCs w:val="27"/>
                      <w:lang w:val="ro-RO"/>
                    </w:rPr>
                  </w:pPr>
                  <w:r>
                    <w:rPr>
                      <w:rFonts w:ascii="Times New Roman" w:eastAsia="Calibri" w:hAnsi="Times New Roman" w:cs="Times New Roman"/>
                      <w:szCs w:val="27"/>
                      <w:lang w:val="ro-RO"/>
                    </w:rPr>
                    <w:t>Elveția</w:t>
                  </w:r>
                </w:p>
              </w:tc>
              <w:tc>
                <w:tcPr>
                  <w:tcW w:w="2190" w:type="dxa"/>
                </w:tcPr>
                <w:p w:rsidR="00B17F2F" w:rsidRDefault="00B17F2F" w:rsidP="00B17F2F">
                  <w:pPr>
                    <w:spacing w:line="276" w:lineRule="auto"/>
                    <w:jc w:val="both"/>
                    <w:rPr>
                      <w:rFonts w:ascii="Times New Roman" w:eastAsia="Calibri" w:hAnsi="Times New Roman" w:cs="Times New Roman"/>
                      <w:szCs w:val="27"/>
                      <w:lang w:val="ro-RO"/>
                    </w:rPr>
                  </w:pPr>
                  <w:r w:rsidRPr="00B17F2F">
                    <w:rPr>
                      <w:rFonts w:ascii="Times New Roman" w:eastAsia="Calibri" w:hAnsi="Times New Roman" w:cs="Times New Roman"/>
                      <w:szCs w:val="27"/>
                      <w:lang w:val="ro-RO"/>
                    </w:rPr>
                    <w:t>Tone</w:t>
                  </w:r>
                </w:p>
              </w:tc>
              <w:tc>
                <w:tcPr>
                  <w:tcW w:w="2191" w:type="dxa"/>
                  <w:tcBorders>
                    <w:top w:val="nil"/>
                    <w:left w:val="nil"/>
                    <w:bottom w:val="single" w:sz="8" w:space="0" w:color="auto"/>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lang w:val="en-GB"/>
                    </w:rPr>
                  </w:pPr>
                  <w:r w:rsidRPr="00B17F2F">
                    <w:rPr>
                      <w:rFonts w:ascii="Times New Roman" w:hAnsi="Times New Roman" w:cs="Times New Roman"/>
                      <w:color w:val="000000"/>
                      <w:sz w:val="24"/>
                      <w:lang w:val="en-GB"/>
                    </w:rPr>
                    <w:t>378,88</w:t>
                  </w:r>
                </w:p>
              </w:tc>
              <w:tc>
                <w:tcPr>
                  <w:tcW w:w="2191" w:type="dxa"/>
                  <w:tcBorders>
                    <w:top w:val="nil"/>
                    <w:left w:val="nil"/>
                    <w:bottom w:val="single" w:sz="8" w:space="0" w:color="auto"/>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lang w:val="en-GB"/>
                    </w:rPr>
                  </w:pPr>
                  <w:r w:rsidRPr="00B17F2F">
                    <w:rPr>
                      <w:rFonts w:ascii="Times New Roman" w:hAnsi="Times New Roman" w:cs="Times New Roman"/>
                      <w:color w:val="000000"/>
                      <w:sz w:val="24"/>
                      <w:lang w:val="en-GB"/>
                    </w:rPr>
                    <w:t>372,64</w:t>
                  </w:r>
                </w:p>
              </w:tc>
              <w:tc>
                <w:tcPr>
                  <w:tcW w:w="2191" w:type="dxa"/>
                  <w:tcBorders>
                    <w:top w:val="nil"/>
                    <w:left w:val="nil"/>
                    <w:bottom w:val="single" w:sz="8" w:space="0" w:color="auto"/>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lang w:val="en-GB"/>
                    </w:rPr>
                  </w:pPr>
                  <w:r w:rsidRPr="00B17F2F">
                    <w:rPr>
                      <w:rFonts w:ascii="Times New Roman" w:hAnsi="Times New Roman" w:cs="Times New Roman"/>
                      <w:color w:val="000000"/>
                      <w:sz w:val="24"/>
                      <w:lang w:val="en-GB"/>
                    </w:rPr>
                    <w:t>322,02</w:t>
                  </w:r>
                </w:p>
              </w:tc>
            </w:tr>
            <w:tr w:rsidR="00B17F2F" w:rsidRPr="008F1773" w:rsidTr="00B17F2F">
              <w:trPr>
                <w:trHeight w:val="170"/>
              </w:trPr>
              <w:tc>
                <w:tcPr>
                  <w:tcW w:w="2190" w:type="dxa"/>
                </w:tcPr>
                <w:p w:rsidR="00B17F2F" w:rsidRDefault="00B17F2F" w:rsidP="00B17F2F">
                  <w:pPr>
                    <w:spacing w:line="276" w:lineRule="auto"/>
                    <w:jc w:val="both"/>
                    <w:rPr>
                      <w:rFonts w:ascii="Times New Roman" w:eastAsia="Calibri" w:hAnsi="Times New Roman" w:cs="Times New Roman"/>
                      <w:szCs w:val="27"/>
                      <w:lang w:val="ro-RO"/>
                    </w:rPr>
                  </w:pPr>
                  <w:r>
                    <w:rPr>
                      <w:rFonts w:ascii="Times New Roman" w:eastAsia="Calibri" w:hAnsi="Times New Roman" w:cs="Times New Roman"/>
                      <w:szCs w:val="27"/>
                      <w:lang w:val="ro-RO"/>
                    </w:rPr>
                    <w:t>Germania</w:t>
                  </w:r>
                </w:p>
              </w:tc>
              <w:tc>
                <w:tcPr>
                  <w:tcW w:w="2190" w:type="dxa"/>
                </w:tcPr>
                <w:p w:rsidR="00B17F2F" w:rsidRDefault="00B17F2F" w:rsidP="00B17F2F">
                  <w:pPr>
                    <w:spacing w:line="276" w:lineRule="auto"/>
                    <w:jc w:val="both"/>
                    <w:rPr>
                      <w:rFonts w:ascii="Times New Roman" w:eastAsia="Calibri" w:hAnsi="Times New Roman" w:cs="Times New Roman"/>
                      <w:szCs w:val="27"/>
                      <w:lang w:val="ro-RO"/>
                    </w:rPr>
                  </w:pPr>
                  <w:r w:rsidRPr="00B17F2F">
                    <w:rPr>
                      <w:rFonts w:ascii="Times New Roman" w:eastAsia="Calibri" w:hAnsi="Times New Roman" w:cs="Times New Roman"/>
                      <w:szCs w:val="27"/>
                      <w:lang w:val="ro-RO"/>
                    </w:rPr>
                    <w:t>Tone</w:t>
                  </w:r>
                </w:p>
              </w:tc>
              <w:tc>
                <w:tcPr>
                  <w:tcW w:w="2191" w:type="dxa"/>
                  <w:tcBorders>
                    <w:top w:val="nil"/>
                    <w:left w:val="nil"/>
                    <w:bottom w:val="single" w:sz="8" w:space="0" w:color="auto"/>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lang w:val="en-GB"/>
                    </w:rPr>
                  </w:pPr>
                  <w:r w:rsidRPr="00B17F2F">
                    <w:rPr>
                      <w:rFonts w:ascii="Times New Roman" w:hAnsi="Times New Roman" w:cs="Times New Roman"/>
                      <w:color w:val="000000"/>
                      <w:sz w:val="24"/>
                      <w:lang w:val="en-GB"/>
                    </w:rPr>
                    <w:t>1069,03</w:t>
                  </w:r>
                </w:p>
              </w:tc>
              <w:tc>
                <w:tcPr>
                  <w:tcW w:w="2191" w:type="dxa"/>
                  <w:tcBorders>
                    <w:top w:val="nil"/>
                    <w:left w:val="nil"/>
                    <w:bottom w:val="single" w:sz="8" w:space="0" w:color="auto"/>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lang w:val="en-GB"/>
                    </w:rPr>
                  </w:pPr>
                  <w:r w:rsidRPr="00B17F2F">
                    <w:rPr>
                      <w:rFonts w:ascii="Times New Roman" w:hAnsi="Times New Roman" w:cs="Times New Roman"/>
                      <w:color w:val="000000"/>
                      <w:sz w:val="24"/>
                      <w:lang w:val="en-GB"/>
                    </w:rPr>
                    <w:t>513,18</w:t>
                  </w:r>
                </w:p>
              </w:tc>
              <w:tc>
                <w:tcPr>
                  <w:tcW w:w="2191" w:type="dxa"/>
                  <w:tcBorders>
                    <w:top w:val="nil"/>
                    <w:left w:val="nil"/>
                    <w:bottom w:val="single" w:sz="8" w:space="0" w:color="auto"/>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lang w:val="en-GB"/>
                    </w:rPr>
                  </w:pPr>
                  <w:r w:rsidRPr="00B17F2F">
                    <w:rPr>
                      <w:rFonts w:ascii="Times New Roman" w:hAnsi="Times New Roman" w:cs="Times New Roman"/>
                      <w:color w:val="000000"/>
                      <w:sz w:val="24"/>
                      <w:lang w:val="en-GB"/>
                    </w:rPr>
                    <w:t>676,62</w:t>
                  </w:r>
                </w:p>
              </w:tc>
            </w:tr>
            <w:tr w:rsidR="00B17F2F" w:rsidRPr="008F1773" w:rsidTr="00B17F2F">
              <w:trPr>
                <w:trHeight w:val="170"/>
              </w:trPr>
              <w:tc>
                <w:tcPr>
                  <w:tcW w:w="2190" w:type="dxa"/>
                </w:tcPr>
                <w:p w:rsidR="00B17F2F" w:rsidRDefault="00B17F2F" w:rsidP="00B17F2F">
                  <w:pPr>
                    <w:spacing w:line="276" w:lineRule="auto"/>
                    <w:jc w:val="both"/>
                    <w:rPr>
                      <w:rFonts w:ascii="Times New Roman" w:eastAsia="Calibri" w:hAnsi="Times New Roman" w:cs="Times New Roman"/>
                      <w:szCs w:val="27"/>
                      <w:lang w:val="ro-RO"/>
                    </w:rPr>
                  </w:pPr>
                  <w:r>
                    <w:rPr>
                      <w:rFonts w:ascii="Times New Roman" w:eastAsia="Calibri" w:hAnsi="Times New Roman" w:cs="Times New Roman"/>
                      <w:szCs w:val="27"/>
                      <w:lang w:val="ro-RO"/>
                    </w:rPr>
                    <w:t xml:space="preserve">Franța </w:t>
                  </w:r>
                </w:p>
              </w:tc>
              <w:tc>
                <w:tcPr>
                  <w:tcW w:w="2190" w:type="dxa"/>
                </w:tcPr>
                <w:p w:rsidR="00B17F2F" w:rsidRDefault="00B17F2F" w:rsidP="00B17F2F">
                  <w:pPr>
                    <w:spacing w:line="276" w:lineRule="auto"/>
                    <w:jc w:val="both"/>
                    <w:rPr>
                      <w:rFonts w:ascii="Times New Roman" w:eastAsia="Calibri" w:hAnsi="Times New Roman" w:cs="Times New Roman"/>
                      <w:szCs w:val="27"/>
                      <w:lang w:val="ro-RO"/>
                    </w:rPr>
                  </w:pPr>
                  <w:r w:rsidRPr="00B17F2F">
                    <w:rPr>
                      <w:rFonts w:ascii="Times New Roman" w:eastAsia="Calibri" w:hAnsi="Times New Roman" w:cs="Times New Roman"/>
                      <w:szCs w:val="27"/>
                      <w:lang w:val="ro-RO"/>
                    </w:rPr>
                    <w:t>Tone</w:t>
                  </w:r>
                </w:p>
              </w:tc>
              <w:tc>
                <w:tcPr>
                  <w:tcW w:w="2191" w:type="dxa"/>
                  <w:tcBorders>
                    <w:top w:val="nil"/>
                    <w:left w:val="nil"/>
                    <w:bottom w:val="single" w:sz="8" w:space="0" w:color="auto"/>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lang w:val="en-GB"/>
                    </w:rPr>
                  </w:pPr>
                  <w:r w:rsidRPr="00B17F2F">
                    <w:rPr>
                      <w:rFonts w:ascii="Times New Roman" w:hAnsi="Times New Roman" w:cs="Times New Roman"/>
                      <w:color w:val="000000"/>
                      <w:sz w:val="24"/>
                      <w:lang w:val="en-GB"/>
                    </w:rPr>
                    <w:t>892,93</w:t>
                  </w:r>
                </w:p>
              </w:tc>
              <w:tc>
                <w:tcPr>
                  <w:tcW w:w="2191" w:type="dxa"/>
                  <w:tcBorders>
                    <w:top w:val="nil"/>
                    <w:left w:val="nil"/>
                    <w:bottom w:val="single" w:sz="8" w:space="0" w:color="auto"/>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lang w:val="en-GB"/>
                    </w:rPr>
                  </w:pPr>
                  <w:r w:rsidRPr="00B17F2F">
                    <w:rPr>
                      <w:rFonts w:ascii="Times New Roman" w:hAnsi="Times New Roman" w:cs="Times New Roman"/>
                      <w:color w:val="000000"/>
                      <w:sz w:val="24"/>
                      <w:lang w:val="en-GB"/>
                    </w:rPr>
                    <w:t>445,28</w:t>
                  </w:r>
                </w:p>
              </w:tc>
              <w:tc>
                <w:tcPr>
                  <w:tcW w:w="2191" w:type="dxa"/>
                  <w:tcBorders>
                    <w:top w:val="nil"/>
                    <w:left w:val="nil"/>
                    <w:bottom w:val="single" w:sz="8" w:space="0" w:color="auto"/>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lang w:val="en-GB"/>
                    </w:rPr>
                  </w:pPr>
                  <w:r w:rsidRPr="00B17F2F">
                    <w:rPr>
                      <w:rFonts w:ascii="Times New Roman" w:hAnsi="Times New Roman" w:cs="Times New Roman"/>
                      <w:color w:val="000000"/>
                      <w:sz w:val="24"/>
                      <w:lang w:val="en-GB"/>
                    </w:rPr>
                    <w:t>556,21</w:t>
                  </w:r>
                </w:p>
              </w:tc>
            </w:tr>
            <w:tr w:rsidR="00B17F2F" w:rsidRPr="008F1773" w:rsidTr="00B17F2F">
              <w:trPr>
                <w:trHeight w:val="170"/>
              </w:trPr>
              <w:tc>
                <w:tcPr>
                  <w:tcW w:w="2190" w:type="dxa"/>
                </w:tcPr>
                <w:p w:rsidR="00B17F2F" w:rsidRDefault="00B17F2F" w:rsidP="00B17F2F">
                  <w:pPr>
                    <w:spacing w:line="276" w:lineRule="auto"/>
                    <w:jc w:val="both"/>
                    <w:rPr>
                      <w:rFonts w:ascii="Times New Roman" w:eastAsia="Calibri" w:hAnsi="Times New Roman" w:cs="Times New Roman"/>
                      <w:szCs w:val="27"/>
                      <w:lang w:val="ro-RO"/>
                    </w:rPr>
                  </w:pPr>
                  <w:r>
                    <w:rPr>
                      <w:rFonts w:ascii="Times New Roman" w:eastAsia="Calibri" w:hAnsi="Times New Roman" w:cs="Times New Roman"/>
                      <w:szCs w:val="27"/>
                      <w:lang w:val="ro-RO"/>
                    </w:rPr>
                    <w:t xml:space="preserve">Olanda </w:t>
                  </w:r>
                </w:p>
              </w:tc>
              <w:tc>
                <w:tcPr>
                  <w:tcW w:w="2190" w:type="dxa"/>
                </w:tcPr>
                <w:p w:rsidR="00B17F2F" w:rsidRDefault="00B17F2F" w:rsidP="00B17F2F">
                  <w:pPr>
                    <w:spacing w:line="276" w:lineRule="auto"/>
                    <w:jc w:val="both"/>
                    <w:rPr>
                      <w:rFonts w:ascii="Times New Roman" w:eastAsia="Calibri" w:hAnsi="Times New Roman" w:cs="Times New Roman"/>
                      <w:szCs w:val="27"/>
                      <w:lang w:val="ro-RO"/>
                    </w:rPr>
                  </w:pPr>
                  <w:r w:rsidRPr="00B17F2F">
                    <w:rPr>
                      <w:rFonts w:ascii="Times New Roman" w:eastAsia="Calibri" w:hAnsi="Times New Roman" w:cs="Times New Roman"/>
                      <w:szCs w:val="27"/>
                      <w:lang w:val="ro-RO"/>
                    </w:rPr>
                    <w:t>Tone</w:t>
                  </w:r>
                </w:p>
              </w:tc>
              <w:tc>
                <w:tcPr>
                  <w:tcW w:w="2191" w:type="dxa"/>
                  <w:tcBorders>
                    <w:top w:val="nil"/>
                    <w:left w:val="nil"/>
                    <w:bottom w:val="single" w:sz="8" w:space="0" w:color="auto"/>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lang w:val="en-GB"/>
                    </w:rPr>
                  </w:pPr>
                  <w:r w:rsidRPr="00B17F2F">
                    <w:rPr>
                      <w:rFonts w:ascii="Times New Roman" w:hAnsi="Times New Roman" w:cs="Times New Roman"/>
                      <w:color w:val="000000"/>
                      <w:sz w:val="24"/>
                      <w:lang w:val="en-GB"/>
                    </w:rPr>
                    <w:t>479,39</w:t>
                  </w:r>
                </w:p>
              </w:tc>
              <w:tc>
                <w:tcPr>
                  <w:tcW w:w="2191" w:type="dxa"/>
                  <w:tcBorders>
                    <w:top w:val="nil"/>
                    <w:left w:val="nil"/>
                    <w:bottom w:val="single" w:sz="8" w:space="0" w:color="auto"/>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lang w:val="en-GB"/>
                    </w:rPr>
                  </w:pPr>
                  <w:r w:rsidRPr="00B17F2F">
                    <w:rPr>
                      <w:rFonts w:ascii="Times New Roman" w:hAnsi="Times New Roman" w:cs="Times New Roman"/>
                      <w:color w:val="000000"/>
                      <w:sz w:val="24"/>
                      <w:lang w:val="en-GB"/>
                    </w:rPr>
                    <w:t>403,39</w:t>
                  </w:r>
                </w:p>
              </w:tc>
              <w:tc>
                <w:tcPr>
                  <w:tcW w:w="2191" w:type="dxa"/>
                  <w:tcBorders>
                    <w:top w:val="nil"/>
                    <w:left w:val="nil"/>
                    <w:bottom w:val="single" w:sz="8" w:space="0" w:color="auto"/>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lang w:val="en-GB"/>
                    </w:rPr>
                  </w:pPr>
                  <w:r w:rsidRPr="00B17F2F">
                    <w:rPr>
                      <w:rFonts w:ascii="Times New Roman" w:hAnsi="Times New Roman" w:cs="Times New Roman"/>
                      <w:color w:val="000000"/>
                      <w:sz w:val="24"/>
                      <w:lang w:val="en-GB"/>
                    </w:rPr>
                    <w:t>375,38</w:t>
                  </w:r>
                </w:p>
              </w:tc>
            </w:tr>
            <w:tr w:rsidR="00B17F2F" w:rsidRPr="008F1773" w:rsidTr="00B17F2F">
              <w:trPr>
                <w:trHeight w:val="170"/>
              </w:trPr>
              <w:tc>
                <w:tcPr>
                  <w:tcW w:w="2190" w:type="dxa"/>
                </w:tcPr>
                <w:p w:rsidR="00B17F2F" w:rsidRDefault="00B17F2F" w:rsidP="00B17F2F">
                  <w:pPr>
                    <w:spacing w:line="276" w:lineRule="auto"/>
                    <w:jc w:val="both"/>
                    <w:rPr>
                      <w:rFonts w:ascii="Times New Roman" w:eastAsia="Calibri" w:hAnsi="Times New Roman" w:cs="Times New Roman"/>
                      <w:szCs w:val="27"/>
                      <w:lang w:val="ro-RO"/>
                    </w:rPr>
                  </w:pPr>
                  <w:r>
                    <w:rPr>
                      <w:rFonts w:ascii="Times New Roman" w:eastAsia="Calibri" w:hAnsi="Times New Roman" w:cs="Times New Roman"/>
                      <w:szCs w:val="27"/>
                      <w:lang w:val="ro-RO"/>
                    </w:rPr>
                    <w:t>Alte țări</w:t>
                  </w:r>
                </w:p>
              </w:tc>
              <w:tc>
                <w:tcPr>
                  <w:tcW w:w="2190" w:type="dxa"/>
                </w:tcPr>
                <w:p w:rsidR="00B17F2F" w:rsidRDefault="00B17F2F" w:rsidP="00B17F2F">
                  <w:pPr>
                    <w:spacing w:line="276" w:lineRule="auto"/>
                    <w:jc w:val="both"/>
                    <w:rPr>
                      <w:rFonts w:ascii="Times New Roman" w:eastAsia="Calibri" w:hAnsi="Times New Roman" w:cs="Times New Roman"/>
                      <w:szCs w:val="27"/>
                      <w:lang w:val="ro-RO"/>
                    </w:rPr>
                  </w:pPr>
                  <w:r>
                    <w:rPr>
                      <w:rFonts w:ascii="Times New Roman" w:eastAsia="Calibri" w:hAnsi="Times New Roman" w:cs="Times New Roman"/>
                      <w:szCs w:val="27"/>
                      <w:lang w:val="ro-RO"/>
                    </w:rPr>
                    <w:t xml:space="preserve">Tone </w:t>
                  </w:r>
                </w:p>
              </w:tc>
              <w:tc>
                <w:tcPr>
                  <w:tcW w:w="2191" w:type="dxa"/>
                  <w:tcBorders>
                    <w:top w:val="nil"/>
                    <w:left w:val="nil"/>
                    <w:bottom w:val="nil"/>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lang w:val="en-GB"/>
                    </w:rPr>
                  </w:pPr>
                  <w:r w:rsidRPr="00B17F2F">
                    <w:rPr>
                      <w:rFonts w:ascii="Times New Roman" w:hAnsi="Times New Roman" w:cs="Times New Roman"/>
                      <w:color w:val="000000"/>
                      <w:sz w:val="24"/>
                      <w:lang w:val="en-GB"/>
                    </w:rPr>
                    <w:t>924,62</w:t>
                  </w:r>
                </w:p>
              </w:tc>
              <w:tc>
                <w:tcPr>
                  <w:tcW w:w="2191" w:type="dxa"/>
                  <w:tcBorders>
                    <w:top w:val="nil"/>
                    <w:left w:val="nil"/>
                    <w:bottom w:val="nil"/>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lang w:val="en-GB"/>
                    </w:rPr>
                  </w:pPr>
                  <w:r w:rsidRPr="00B17F2F">
                    <w:rPr>
                      <w:rFonts w:ascii="Times New Roman" w:hAnsi="Times New Roman" w:cs="Times New Roman"/>
                      <w:color w:val="000000"/>
                      <w:sz w:val="24"/>
                      <w:lang w:val="en-GB"/>
                    </w:rPr>
                    <w:t>801,30</w:t>
                  </w:r>
                </w:p>
              </w:tc>
              <w:tc>
                <w:tcPr>
                  <w:tcW w:w="2191" w:type="dxa"/>
                  <w:tcBorders>
                    <w:top w:val="nil"/>
                    <w:left w:val="nil"/>
                    <w:bottom w:val="nil"/>
                    <w:right w:val="single" w:sz="8" w:space="0" w:color="auto"/>
                  </w:tcBorders>
                  <w:shd w:val="clear" w:color="auto" w:fill="auto"/>
                  <w:vAlign w:val="center"/>
                </w:tcPr>
                <w:p w:rsidR="00B17F2F" w:rsidRPr="00B17F2F" w:rsidRDefault="00B17F2F" w:rsidP="00B17F2F">
                  <w:pPr>
                    <w:jc w:val="right"/>
                    <w:rPr>
                      <w:rFonts w:ascii="Times New Roman" w:hAnsi="Times New Roman" w:cs="Times New Roman"/>
                      <w:color w:val="000000"/>
                      <w:sz w:val="24"/>
                      <w:lang w:val="en-GB"/>
                    </w:rPr>
                  </w:pPr>
                  <w:r w:rsidRPr="00B17F2F">
                    <w:rPr>
                      <w:rFonts w:ascii="Times New Roman" w:hAnsi="Times New Roman" w:cs="Times New Roman"/>
                      <w:color w:val="000000"/>
                      <w:sz w:val="24"/>
                      <w:lang w:val="en-GB"/>
                    </w:rPr>
                    <w:t>1263,67</w:t>
                  </w:r>
                </w:p>
              </w:tc>
            </w:tr>
            <w:tr w:rsidR="00B17F2F" w:rsidRPr="008F1773" w:rsidTr="00B17F2F">
              <w:tc>
                <w:tcPr>
                  <w:tcW w:w="4380" w:type="dxa"/>
                  <w:gridSpan w:val="2"/>
                  <w:vAlign w:val="center"/>
                </w:tcPr>
                <w:p w:rsidR="00B17F2F" w:rsidRPr="00B17F2F" w:rsidRDefault="00B17F2F" w:rsidP="00B17F2F">
                  <w:pPr>
                    <w:spacing w:line="276" w:lineRule="auto"/>
                    <w:jc w:val="center"/>
                    <w:rPr>
                      <w:rFonts w:ascii="Times New Roman" w:eastAsia="Calibri" w:hAnsi="Times New Roman" w:cs="Times New Roman"/>
                      <w:b/>
                      <w:szCs w:val="27"/>
                      <w:lang w:val="ro-RO"/>
                    </w:rPr>
                  </w:pPr>
                  <w:r w:rsidRPr="00B17F2F">
                    <w:rPr>
                      <w:rFonts w:ascii="Times New Roman" w:eastAsia="Calibri" w:hAnsi="Times New Roman" w:cs="Times New Roman"/>
                      <w:b/>
                      <w:szCs w:val="27"/>
                      <w:lang w:val="ro-RO"/>
                    </w:rPr>
                    <w:t>Total</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B17F2F" w:rsidRPr="00B17F2F" w:rsidRDefault="00B17F2F" w:rsidP="00B17F2F">
                  <w:pPr>
                    <w:jc w:val="right"/>
                    <w:rPr>
                      <w:rFonts w:ascii="Times New Roman" w:hAnsi="Times New Roman" w:cs="Times New Roman"/>
                      <w:b/>
                      <w:color w:val="000000"/>
                      <w:sz w:val="24"/>
                      <w:lang w:val="en-GB"/>
                    </w:rPr>
                  </w:pPr>
                  <w:r w:rsidRPr="00B17F2F">
                    <w:rPr>
                      <w:rFonts w:ascii="Times New Roman" w:hAnsi="Times New Roman" w:cs="Times New Roman"/>
                      <w:b/>
                      <w:color w:val="000000"/>
                      <w:sz w:val="24"/>
                      <w:lang w:val="en-GB"/>
                    </w:rPr>
                    <w:t>5370,32</w:t>
                  </w:r>
                </w:p>
              </w:tc>
              <w:tc>
                <w:tcPr>
                  <w:tcW w:w="2191" w:type="dxa"/>
                  <w:tcBorders>
                    <w:top w:val="single" w:sz="4" w:space="0" w:color="auto"/>
                    <w:left w:val="nil"/>
                    <w:bottom w:val="single" w:sz="4" w:space="0" w:color="auto"/>
                    <w:right w:val="single" w:sz="4" w:space="0" w:color="auto"/>
                  </w:tcBorders>
                  <w:shd w:val="clear" w:color="auto" w:fill="auto"/>
                  <w:vAlign w:val="center"/>
                </w:tcPr>
                <w:p w:rsidR="00B17F2F" w:rsidRPr="00B17F2F" w:rsidRDefault="00B17F2F" w:rsidP="00B17F2F">
                  <w:pPr>
                    <w:jc w:val="right"/>
                    <w:rPr>
                      <w:rFonts w:ascii="Times New Roman" w:hAnsi="Times New Roman" w:cs="Times New Roman"/>
                      <w:b/>
                      <w:color w:val="000000"/>
                      <w:sz w:val="24"/>
                      <w:lang w:val="en-GB"/>
                    </w:rPr>
                  </w:pPr>
                  <w:r w:rsidRPr="00B17F2F">
                    <w:rPr>
                      <w:rFonts w:ascii="Times New Roman" w:hAnsi="Times New Roman" w:cs="Times New Roman"/>
                      <w:b/>
                      <w:color w:val="000000"/>
                      <w:sz w:val="24"/>
                      <w:lang w:val="en-GB"/>
                    </w:rPr>
                    <w:t>5485,40</w:t>
                  </w:r>
                </w:p>
              </w:tc>
              <w:tc>
                <w:tcPr>
                  <w:tcW w:w="2191" w:type="dxa"/>
                  <w:tcBorders>
                    <w:top w:val="single" w:sz="4" w:space="0" w:color="auto"/>
                    <w:left w:val="nil"/>
                    <w:bottom w:val="single" w:sz="4" w:space="0" w:color="auto"/>
                    <w:right w:val="single" w:sz="4" w:space="0" w:color="auto"/>
                  </w:tcBorders>
                  <w:shd w:val="clear" w:color="auto" w:fill="auto"/>
                  <w:vAlign w:val="center"/>
                </w:tcPr>
                <w:p w:rsidR="00B17F2F" w:rsidRPr="00B17F2F" w:rsidRDefault="00B17F2F" w:rsidP="00B17F2F">
                  <w:pPr>
                    <w:jc w:val="right"/>
                    <w:rPr>
                      <w:rFonts w:ascii="Times New Roman" w:hAnsi="Times New Roman" w:cs="Times New Roman"/>
                      <w:b/>
                      <w:color w:val="000000"/>
                      <w:sz w:val="24"/>
                      <w:lang w:val="en-GB"/>
                    </w:rPr>
                  </w:pPr>
                  <w:r w:rsidRPr="00B17F2F">
                    <w:rPr>
                      <w:rFonts w:ascii="Times New Roman" w:hAnsi="Times New Roman" w:cs="Times New Roman"/>
                      <w:b/>
                      <w:color w:val="000000"/>
                      <w:sz w:val="24"/>
                      <w:lang w:val="en-GB"/>
                    </w:rPr>
                    <w:t>8780,23</w:t>
                  </w:r>
                </w:p>
              </w:tc>
            </w:tr>
          </w:tbl>
          <w:p w:rsidR="00F161DB" w:rsidRDefault="00F161DB" w:rsidP="00B17F2F">
            <w:pPr>
              <w:spacing w:after="0" w:line="276" w:lineRule="auto"/>
              <w:ind w:firstLine="720"/>
              <w:jc w:val="right"/>
              <w:rPr>
                <w:rFonts w:ascii="Times New Roman" w:eastAsia="Calibri" w:hAnsi="Times New Roman" w:cs="Times New Roman"/>
                <w:sz w:val="24"/>
                <w:szCs w:val="27"/>
                <w:lang w:val="ro-RO"/>
              </w:rPr>
            </w:pPr>
          </w:p>
          <w:p w:rsidR="00B17F2F" w:rsidRPr="00B17F2F" w:rsidRDefault="00B17F2F" w:rsidP="00B17F2F">
            <w:pPr>
              <w:spacing w:after="0" w:line="276" w:lineRule="auto"/>
              <w:ind w:firstLine="720"/>
              <w:jc w:val="right"/>
              <w:rPr>
                <w:rFonts w:ascii="Times New Roman" w:eastAsia="Calibri" w:hAnsi="Times New Roman" w:cs="Times New Roman"/>
                <w:sz w:val="24"/>
                <w:szCs w:val="27"/>
                <w:lang w:val="ro-RO"/>
              </w:rPr>
            </w:pPr>
            <w:r w:rsidRPr="00B17F2F">
              <w:rPr>
                <w:rFonts w:ascii="Times New Roman" w:eastAsia="Calibri" w:hAnsi="Times New Roman" w:cs="Times New Roman"/>
                <w:sz w:val="24"/>
                <w:szCs w:val="27"/>
                <w:lang w:val="ro-RO"/>
              </w:rPr>
              <w:t xml:space="preserve">Tabelul. 1 </w:t>
            </w:r>
            <w:r w:rsidR="00490BFC">
              <w:rPr>
                <w:rFonts w:ascii="Times New Roman" w:eastAsia="Calibri" w:hAnsi="Times New Roman" w:cs="Times New Roman"/>
                <w:sz w:val="24"/>
                <w:szCs w:val="27"/>
                <w:lang w:val="ro-RO"/>
              </w:rPr>
              <w:t>Import</w:t>
            </w:r>
            <w:r w:rsidRPr="00B17F2F">
              <w:rPr>
                <w:rFonts w:ascii="Times New Roman" w:eastAsia="Calibri" w:hAnsi="Times New Roman" w:cs="Times New Roman"/>
                <w:sz w:val="24"/>
                <w:szCs w:val="27"/>
                <w:lang w:val="ro-RO"/>
              </w:rPr>
              <w:t xml:space="preserve"> de fructe de culturi nucifere </w:t>
            </w:r>
          </w:p>
          <w:tbl>
            <w:tblPr>
              <w:tblStyle w:val="Tabelgril"/>
              <w:tblW w:w="0" w:type="auto"/>
              <w:tblLook w:val="04A0" w:firstRow="1" w:lastRow="0" w:firstColumn="1" w:lastColumn="0" w:noHBand="0" w:noVBand="1"/>
            </w:tblPr>
            <w:tblGrid>
              <w:gridCol w:w="2190"/>
              <w:gridCol w:w="2190"/>
              <w:gridCol w:w="2191"/>
              <w:gridCol w:w="2191"/>
              <w:gridCol w:w="2191"/>
            </w:tblGrid>
            <w:tr w:rsidR="00F161DB" w:rsidRPr="008F1773" w:rsidTr="00800FE2">
              <w:tc>
                <w:tcPr>
                  <w:tcW w:w="2190" w:type="dxa"/>
                  <w:vAlign w:val="center"/>
                </w:tcPr>
                <w:p w:rsidR="00F161DB" w:rsidRPr="00B17F2F" w:rsidRDefault="00F161DB" w:rsidP="00800FE2">
                  <w:pPr>
                    <w:spacing w:line="276" w:lineRule="auto"/>
                    <w:jc w:val="center"/>
                    <w:rPr>
                      <w:rFonts w:ascii="Times New Roman" w:eastAsia="Calibri" w:hAnsi="Times New Roman" w:cs="Times New Roman"/>
                      <w:b/>
                      <w:szCs w:val="27"/>
                      <w:lang w:val="ro-RO"/>
                    </w:rPr>
                  </w:pPr>
                  <w:r w:rsidRPr="00B17F2F">
                    <w:rPr>
                      <w:rFonts w:ascii="Times New Roman" w:eastAsia="Calibri" w:hAnsi="Times New Roman" w:cs="Times New Roman"/>
                      <w:b/>
                      <w:szCs w:val="27"/>
                      <w:lang w:val="ro-RO"/>
                    </w:rPr>
                    <w:t>Indicator</w:t>
                  </w:r>
                </w:p>
              </w:tc>
              <w:tc>
                <w:tcPr>
                  <w:tcW w:w="2190" w:type="dxa"/>
                  <w:vAlign w:val="center"/>
                </w:tcPr>
                <w:p w:rsidR="00F161DB" w:rsidRPr="00B17F2F" w:rsidRDefault="00F161DB" w:rsidP="00800FE2">
                  <w:pPr>
                    <w:spacing w:line="276" w:lineRule="auto"/>
                    <w:jc w:val="center"/>
                    <w:rPr>
                      <w:rFonts w:ascii="Times New Roman" w:eastAsia="Calibri" w:hAnsi="Times New Roman" w:cs="Times New Roman"/>
                      <w:b/>
                      <w:szCs w:val="27"/>
                      <w:lang w:val="ro-RO"/>
                    </w:rPr>
                  </w:pPr>
                  <w:r w:rsidRPr="00B17F2F">
                    <w:rPr>
                      <w:rFonts w:ascii="Times New Roman" w:eastAsia="Calibri" w:hAnsi="Times New Roman" w:cs="Times New Roman"/>
                      <w:b/>
                      <w:szCs w:val="27"/>
                      <w:lang w:val="ro-RO"/>
                    </w:rPr>
                    <w:t>U/m</w:t>
                  </w:r>
                </w:p>
              </w:tc>
              <w:tc>
                <w:tcPr>
                  <w:tcW w:w="2191" w:type="dxa"/>
                  <w:vAlign w:val="center"/>
                </w:tcPr>
                <w:p w:rsidR="00F161DB" w:rsidRPr="00B17F2F" w:rsidRDefault="00F161DB" w:rsidP="00800FE2">
                  <w:pPr>
                    <w:spacing w:line="276" w:lineRule="auto"/>
                    <w:jc w:val="center"/>
                    <w:rPr>
                      <w:rFonts w:ascii="Times New Roman" w:eastAsia="Calibri" w:hAnsi="Times New Roman" w:cs="Times New Roman"/>
                      <w:b/>
                      <w:szCs w:val="27"/>
                      <w:lang w:val="ro-RO"/>
                    </w:rPr>
                  </w:pPr>
                  <w:r w:rsidRPr="00B17F2F">
                    <w:rPr>
                      <w:rFonts w:ascii="Times New Roman" w:eastAsia="Calibri" w:hAnsi="Times New Roman" w:cs="Times New Roman"/>
                      <w:b/>
                      <w:szCs w:val="27"/>
                      <w:lang w:val="ro-RO"/>
                    </w:rPr>
                    <w:t>2021</w:t>
                  </w:r>
                </w:p>
              </w:tc>
              <w:tc>
                <w:tcPr>
                  <w:tcW w:w="2191" w:type="dxa"/>
                  <w:vAlign w:val="center"/>
                </w:tcPr>
                <w:p w:rsidR="00F161DB" w:rsidRPr="00B17F2F" w:rsidRDefault="00F161DB" w:rsidP="00800FE2">
                  <w:pPr>
                    <w:spacing w:line="276" w:lineRule="auto"/>
                    <w:jc w:val="center"/>
                    <w:rPr>
                      <w:rFonts w:ascii="Times New Roman" w:eastAsia="Calibri" w:hAnsi="Times New Roman" w:cs="Times New Roman"/>
                      <w:b/>
                      <w:szCs w:val="27"/>
                      <w:lang w:val="ro-RO"/>
                    </w:rPr>
                  </w:pPr>
                  <w:r w:rsidRPr="00B17F2F">
                    <w:rPr>
                      <w:rFonts w:ascii="Times New Roman" w:eastAsia="Calibri" w:hAnsi="Times New Roman" w:cs="Times New Roman"/>
                      <w:b/>
                      <w:szCs w:val="27"/>
                      <w:lang w:val="ro-RO"/>
                    </w:rPr>
                    <w:t>2022</w:t>
                  </w:r>
                </w:p>
              </w:tc>
              <w:tc>
                <w:tcPr>
                  <w:tcW w:w="2191" w:type="dxa"/>
                  <w:vAlign w:val="center"/>
                </w:tcPr>
                <w:p w:rsidR="00F161DB" w:rsidRPr="00B17F2F" w:rsidRDefault="00F161DB" w:rsidP="00800FE2">
                  <w:pPr>
                    <w:spacing w:line="276" w:lineRule="auto"/>
                    <w:jc w:val="center"/>
                    <w:rPr>
                      <w:rFonts w:ascii="Times New Roman" w:eastAsia="Calibri" w:hAnsi="Times New Roman" w:cs="Times New Roman"/>
                      <w:b/>
                      <w:szCs w:val="27"/>
                      <w:lang w:val="ro-RO"/>
                    </w:rPr>
                  </w:pPr>
                  <w:r w:rsidRPr="00B17F2F">
                    <w:rPr>
                      <w:rFonts w:ascii="Times New Roman" w:eastAsia="Calibri" w:hAnsi="Times New Roman" w:cs="Times New Roman"/>
                      <w:b/>
                      <w:szCs w:val="27"/>
                      <w:lang w:val="ro-RO"/>
                    </w:rPr>
                    <w:t>2023</w:t>
                  </w:r>
                </w:p>
              </w:tc>
            </w:tr>
            <w:tr w:rsidR="00800FE2" w:rsidRPr="008F1773" w:rsidTr="00800FE2">
              <w:trPr>
                <w:trHeight w:val="170"/>
              </w:trPr>
              <w:tc>
                <w:tcPr>
                  <w:tcW w:w="2190" w:type="dxa"/>
                  <w:shd w:val="clear" w:color="auto" w:fill="auto"/>
                  <w:vAlign w:val="center"/>
                </w:tcPr>
                <w:p w:rsidR="00800FE2" w:rsidRPr="00800FE2" w:rsidRDefault="00800FE2" w:rsidP="00800FE2">
                  <w:pPr>
                    <w:rPr>
                      <w:color w:val="000000"/>
                      <w:lang w:val="ro-RO"/>
                    </w:rPr>
                  </w:pPr>
                  <w:r w:rsidRPr="009F24EB">
                    <w:rPr>
                      <w:color w:val="000000"/>
                      <w:lang w:val="en-GB"/>
                    </w:rPr>
                    <w:t>Fistic deco</w:t>
                  </w:r>
                  <w:proofErr w:type="spellStart"/>
                  <w:r>
                    <w:rPr>
                      <w:color w:val="000000"/>
                      <w:lang w:val="ro-RO"/>
                    </w:rPr>
                    <w:t>jit</w:t>
                  </w:r>
                  <w:proofErr w:type="spellEnd"/>
                </w:p>
              </w:tc>
              <w:tc>
                <w:tcPr>
                  <w:tcW w:w="2190" w:type="dxa"/>
                  <w:shd w:val="clear" w:color="auto" w:fill="auto"/>
                  <w:vAlign w:val="center"/>
                </w:tcPr>
                <w:p w:rsidR="00800FE2" w:rsidRPr="009F24EB" w:rsidRDefault="00800FE2" w:rsidP="00800FE2">
                  <w:pPr>
                    <w:rPr>
                      <w:color w:val="000000"/>
                      <w:lang w:val="en-GB"/>
                    </w:rPr>
                  </w:pPr>
                  <w:r w:rsidRPr="009F24EB">
                    <w:rPr>
                      <w:color w:val="000000"/>
                      <w:lang w:val="en-GB"/>
                    </w:rPr>
                    <w:t>Tone</w:t>
                  </w:r>
                </w:p>
              </w:tc>
              <w:tc>
                <w:tcPr>
                  <w:tcW w:w="2191" w:type="dxa"/>
                  <w:shd w:val="clear" w:color="auto" w:fill="auto"/>
                  <w:vAlign w:val="center"/>
                </w:tcPr>
                <w:p w:rsidR="00800FE2" w:rsidRPr="009F24EB" w:rsidRDefault="00800FE2" w:rsidP="00800FE2">
                  <w:pPr>
                    <w:jc w:val="right"/>
                    <w:rPr>
                      <w:color w:val="000000"/>
                      <w:lang w:val="en-GB"/>
                    </w:rPr>
                  </w:pPr>
                  <w:r w:rsidRPr="009F24EB">
                    <w:rPr>
                      <w:color w:val="000000"/>
                      <w:lang w:val="en-GB"/>
                    </w:rPr>
                    <w:t>14,38</w:t>
                  </w:r>
                </w:p>
              </w:tc>
              <w:tc>
                <w:tcPr>
                  <w:tcW w:w="2191" w:type="dxa"/>
                  <w:shd w:val="clear" w:color="auto" w:fill="auto"/>
                  <w:vAlign w:val="center"/>
                </w:tcPr>
                <w:p w:rsidR="00800FE2" w:rsidRPr="009F24EB" w:rsidRDefault="00EB6D8A" w:rsidP="00800FE2">
                  <w:pPr>
                    <w:jc w:val="right"/>
                    <w:rPr>
                      <w:color w:val="000000"/>
                      <w:lang w:val="en-GB"/>
                    </w:rPr>
                  </w:pPr>
                  <w:r w:rsidRPr="009F24EB">
                    <w:rPr>
                      <w:color w:val="000000"/>
                      <w:lang w:val="en-GB"/>
                    </w:rPr>
                    <w:t>5</w:t>
                  </w:r>
                  <w:r w:rsidR="00800FE2" w:rsidRPr="009F24EB">
                    <w:rPr>
                      <w:color w:val="000000"/>
                      <w:lang w:val="en-GB"/>
                    </w:rPr>
                    <w:t>047,00</w:t>
                  </w:r>
                </w:p>
              </w:tc>
              <w:tc>
                <w:tcPr>
                  <w:tcW w:w="2191" w:type="dxa"/>
                  <w:shd w:val="clear" w:color="auto" w:fill="auto"/>
                  <w:vAlign w:val="center"/>
                </w:tcPr>
                <w:p w:rsidR="00800FE2" w:rsidRPr="009F24EB" w:rsidRDefault="00800FE2" w:rsidP="00800FE2">
                  <w:pPr>
                    <w:jc w:val="right"/>
                    <w:rPr>
                      <w:color w:val="000000"/>
                      <w:lang w:val="en-GB"/>
                    </w:rPr>
                  </w:pPr>
                  <w:r w:rsidRPr="009F24EB">
                    <w:rPr>
                      <w:color w:val="000000"/>
                      <w:lang w:val="en-GB"/>
                    </w:rPr>
                    <w:t>32,60</w:t>
                  </w:r>
                </w:p>
              </w:tc>
            </w:tr>
            <w:tr w:rsidR="00800FE2" w:rsidRPr="008F1773" w:rsidTr="00800FE2">
              <w:trPr>
                <w:trHeight w:val="170"/>
              </w:trPr>
              <w:tc>
                <w:tcPr>
                  <w:tcW w:w="2190" w:type="dxa"/>
                  <w:shd w:val="clear" w:color="auto" w:fill="auto"/>
                  <w:vAlign w:val="center"/>
                </w:tcPr>
                <w:p w:rsidR="00800FE2" w:rsidRPr="009F24EB" w:rsidRDefault="00800FE2" w:rsidP="00800FE2">
                  <w:pPr>
                    <w:rPr>
                      <w:color w:val="000000"/>
                      <w:lang w:val="en-GB"/>
                    </w:rPr>
                  </w:pPr>
                  <w:r w:rsidRPr="009F24EB">
                    <w:rPr>
                      <w:color w:val="000000"/>
                      <w:lang w:val="en-GB"/>
                    </w:rPr>
                    <w:t xml:space="preserve">Fistic </w:t>
                  </w:r>
                  <w:proofErr w:type="spellStart"/>
                  <w:r w:rsidRPr="009F24EB">
                    <w:rPr>
                      <w:color w:val="000000"/>
                      <w:lang w:val="en-GB"/>
                    </w:rPr>
                    <w:t>în</w:t>
                  </w:r>
                  <w:proofErr w:type="spellEnd"/>
                  <w:r w:rsidRPr="009F24EB">
                    <w:rPr>
                      <w:color w:val="000000"/>
                      <w:lang w:val="en-GB"/>
                    </w:rPr>
                    <w:t xml:space="preserve"> </w:t>
                  </w:r>
                  <w:proofErr w:type="spellStart"/>
                  <w:r w:rsidRPr="009F24EB">
                    <w:rPr>
                      <w:color w:val="000000"/>
                      <w:lang w:val="en-GB"/>
                    </w:rPr>
                    <w:t>coajă</w:t>
                  </w:r>
                  <w:proofErr w:type="spellEnd"/>
                </w:p>
              </w:tc>
              <w:tc>
                <w:tcPr>
                  <w:tcW w:w="2190" w:type="dxa"/>
                  <w:shd w:val="clear" w:color="auto" w:fill="auto"/>
                  <w:vAlign w:val="center"/>
                </w:tcPr>
                <w:p w:rsidR="00800FE2" w:rsidRPr="009F24EB" w:rsidRDefault="00800FE2" w:rsidP="00800FE2">
                  <w:pPr>
                    <w:rPr>
                      <w:color w:val="000000"/>
                      <w:lang w:val="en-GB"/>
                    </w:rPr>
                  </w:pPr>
                  <w:r w:rsidRPr="009F24EB">
                    <w:rPr>
                      <w:color w:val="000000"/>
                      <w:lang w:val="en-GB"/>
                    </w:rPr>
                    <w:t>Tone</w:t>
                  </w:r>
                </w:p>
              </w:tc>
              <w:tc>
                <w:tcPr>
                  <w:tcW w:w="2191" w:type="dxa"/>
                  <w:shd w:val="clear" w:color="auto" w:fill="auto"/>
                  <w:vAlign w:val="center"/>
                </w:tcPr>
                <w:p w:rsidR="00800FE2" w:rsidRPr="009F24EB" w:rsidRDefault="00800FE2" w:rsidP="00800FE2">
                  <w:pPr>
                    <w:jc w:val="right"/>
                    <w:rPr>
                      <w:color w:val="000000"/>
                      <w:lang w:val="en-GB"/>
                    </w:rPr>
                  </w:pPr>
                  <w:r w:rsidRPr="009F24EB">
                    <w:rPr>
                      <w:color w:val="000000"/>
                      <w:lang w:val="en-GB"/>
                    </w:rPr>
                    <w:t>14,18</w:t>
                  </w:r>
                </w:p>
              </w:tc>
              <w:tc>
                <w:tcPr>
                  <w:tcW w:w="2191" w:type="dxa"/>
                  <w:shd w:val="clear" w:color="auto" w:fill="auto"/>
                  <w:vAlign w:val="center"/>
                </w:tcPr>
                <w:p w:rsidR="00800FE2" w:rsidRPr="009F24EB" w:rsidRDefault="00800FE2" w:rsidP="00800FE2">
                  <w:pPr>
                    <w:jc w:val="right"/>
                    <w:rPr>
                      <w:color w:val="000000"/>
                      <w:lang w:val="en-GB"/>
                    </w:rPr>
                  </w:pPr>
                  <w:r w:rsidRPr="009F24EB">
                    <w:rPr>
                      <w:color w:val="000000"/>
                      <w:lang w:val="en-GB"/>
                    </w:rPr>
                    <w:t>3,50</w:t>
                  </w:r>
                </w:p>
              </w:tc>
              <w:tc>
                <w:tcPr>
                  <w:tcW w:w="2191" w:type="dxa"/>
                  <w:shd w:val="clear" w:color="auto" w:fill="auto"/>
                  <w:vAlign w:val="center"/>
                </w:tcPr>
                <w:p w:rsidR="00800FE2" w:rsidRPr="009F24EB" w:rsidRDefault="00800FE2" w:rsidP="00800FE2">
                  <w:pPr>
                    <w:jc w:val="right"/>
                    <w:rPr>
                      <w:color w:val="000000"/>
                      <w:lang w:val="en-GB"/>
                    </w:rPr>
                  </w:pPr>
                  <w:r w:rsidRPr="009F24EB">
                    <w:rPr>
                      <w:color w:val="000000"/>
                      <w:lang w:val="en-GB"/>
                    </w:rPr>
                    <w:t>37,28</w:t>
                  </w:r>
                </w:p>
              </w:tc>
            </w:tr>
            <w:tr w:rsidR="00800FE2" w:rsidRPr="008F1773" w:rsidTr="00800FE2">
              <w:trPr>
                <w:trHeight w:val="170"/>
              </w:trPr>
              <w:tc>
                <w:tcPr>
                  <w:tcW w:w="2190" w:type="dxa"/>
                  <w:shd w:val="clear" w:color="auto" w:fill="auto"/>
                  <w:vAlign w:val="center"/>
                </w:tcPr>
                <w:p w:rsidR="00800FE2" w:rsidRPr="009F24EB" w:rsidRDefault="00800FE2" w:rsidP="00800FE2">
                  <w:pPr>
                    <w:rPr>
                      <w:color w:val="000000"/>
                      <w:lang w:val="en-GB"/>
                    </w:rPr>
                  </w:pPr>
                  <w:proofErr w:type="spellStart"/>
                  <w:r w:rsidRPr="009F24EB">
                    <w:rPr>
                      <w:color w:val="000000"/>
                      <w:lang w:val="en-GB"/>
                    </w:rPr>
                    <w:t>Nuci</w:t>
                  </w:r>
                  <w:proofErr w:type="spellEnd"/>
                  <w:r w:rsidRPr="009F24EB">
                    <w:rPr>
                      <w:color w:val="000000"/>
                      <w:lang w:val="en-GB"/>
                    </w:rPr>
                    <w:t xml:space="preserve"> </w:t>
                  </w:r>
                  <w:proofErr w:type="spellStart"/>
                  <w:r w:rsidRPr="009F24EB">
                    <w:rPr>
                      <w:color w:val="000000"/>
                      <w:lang w:val="en-GB"/>
                    </w:rPr>
                    <w:t>comune</w:t>
                  </w:r>
                  <w:proofErr w:type="spellEnd"/>
                  <w:r w:rsidRPr="009F24EB">
                    <w:rPr>
                      <w:color w:val="000000"/>
                      <w:lang w:val="en-GB"/>
                    </w:rPr>
                    <w:t xml:space="preserve"> </w:t>
                  </w:r>
                  <w:proofErr w:type="spellStart"/>
                  <w:r w:rsidRPr="009F24EB">
                    <w:rPr>
                      <w:color w:val="000000"/>
                      <w:lang w:val="en-GB"/>
                    </w:rPr>
                    <w:t>în</w:t>
                  </w:r>
                  <w:proofErr w:type="spellEnd"/>
                  <w:r w:rsidRPr="009F24EB">
                    <w:rPr>
                      <w:color w:val="000000"/>
                      <w:lang w:val="en-GB"/>
                    </w:rPr>
                    <w:t xml:space="preserve"> </w:t>
                  </w:r>
                  <w:proofErr w:type="spellStart"/>
                  <w:r w:rsidRPr="009F24EB">
                    <w:rPr>
                      <w:color w:val="000000"/>
                      <w:lang w:val="en-GB"/>
                    </w:rPr>
                    <w:t>coajă</w:t>
                  </w:r>
                  <w:proofErr w:type="spellEnd"/>
                </w:p>
              </w:tc>
              <w:tc>
                <w:tcPr>
                  <w:tcW w:w="2190" w:type="dxa"/>
                  <w:shd w:val="clear" w:color="auto" w:fill="auto"/>
                  <w:vAlign w:val="center"/>
                </w:tcPr>
                <w:p w:rsidR="00800FE2" w:rsidRPr="009F24EB" w:rsidRDefault="00800FE2" w:rsidP="00800FE2">
                  <w:pPr>
                    <w:rPr>
                      <w:color w:val="000000"/>
                      <w:lang w:val="en-GB"/>
                    </w:rPr>
                  </w:pPr>
                  <w:r w:rsidRPr="009F24EB">
                    <w:rPr>
                      <w:color w:val="000000"/>
                      <w:lang w:val="en-GB"/>
                    </w:rPr>
                    <w:t>Tone</w:t>
                  </w:r>
                </w:p>
              </w:tc>
              <w:tc>
                <w:tcPr>
                  <w:tcW w:w="2191" w:type="dxa"/>
                  <w:shd w:val="clear" w:color="auto" w:fill="auto"/>
                  <w:vAlign w:val="center"/>
                </w:tcPr>
                <w:p w:rsidR="00800FE2" w:rsidRPr="009F24EB" w:rsidRDefault="00800FE2" w:rsidP="00800FE2">
                  <w:pPr>
                    <w:jc w:val="right"/>
                    <w:rPr>
                      <w:color w:val="000000"/>
                      <w:lang w:val="en-GB"/>
                    </w:rPr>
                  </w:pPr>
                  <w:r w:rsidRPr="009F24EB">
                    <w:rPr>
                      <w:color w:val="000000"/>
                      <w:lang w:val="en-GB"/>
                    </w:rPr>
                    <w:t>2472,14</w:t>
                  </w:r>
                </w:p>
              </w:tc>
              <w:tc>
                <w:tcPr>
                  <w:tcW w:w="2191" w:type="dxa"/>
                  <w:shd w:val="clear" w:color="auto" w:fill="auto"/>
                  <w:vAlign w:val="center"/>
                </w:tcPr>
                <w:p w:rsidR="00800FE2" w:rsidRPr="009F24EB" w:rsidRDefault="00800FE2" w:rsidP="00800FE2">
                  <w:pPr>
                    <w:jc w:val="right"/>
                    <w:rPr>
                      <w:color w:val="000000"/>
                      <w:lang w:val="en-GB"/>
                    </w:rPr>
                  </w:pPr>
                  <w:r w:rsidRPr="009F24EB">
                    <w:rPr>
                      <w:color w:val="000000"/>
                      <w:lang w:val="en-GB"/>
                    </w:rPr>
                    <w:t>2499,17</w:t>
                  </w:r>
                </w:p>
              </w:tc>
              <w:tc>
                <w:tcPr>
                  <w:tcW w:w="2191" w:type="dxa"/>
                  <w:shd w:val="clear" w:color="auto" w:fill="auto"/>
                  <w:vAlign w:val="center"/>
                </w:tcPr>
                <w:p w:rsidR="00800FE2" w:rsidRPr="009F24EB" w:rsidRDefault="00800FE2" w:rsidP="00800FE2">
                  <w:pPr>
                    <w:jc w:val="right"/>
                    <w:rPr>
                      <w:color w:val="000000"/>
                      <w:lang w:val="en-GB"/>
                    </w:rPr>
                  </w:pPr>
                  <w:r w:rsidRPr="009F24EB">
                    <w:rPr>
                      <w:color w:val="000000"/>
                      <w:lang w:val="en-GB"/>
                    </w:rPr>
                    <w:t>1522,79</w:t>
                  </w:r>
                </w:p>
              </w:tc>
            </w:tr>
            <w:tr w:rsidR="00800FE2" w:rsidRPr="008F1773" w:rsidTr="00800FE2">
              <w:trPr>
                <w:trHeight w:val="170"/>
              </w:trPr>
              <w:tc>
                <w:tcPr>
                  <w:tcW w:w="2190" w:type="dxa"/>
                  <w:shd w:val="clear" w:color="auto" w:fill="auto"/>
                  <w:vAlign w:val="center"/>
                </w:tcPr>
                <w:p w:rsidR="00800FE2" w:rsidRPr="009F24EB" w:rsidRDefault="00800FE2" w:rsidP="00800FE2">
                  <w:pPr>
                    <w:rPr>
                      <w:color w:val="000000"/>
                      <w:lang w:val="en-GB"/>
                    </w:rPr>
                  </w:pPr>
                  <w:proofErr w:type="spellStart"/>
                  <w:r w:rsidRPr="009F24EB">
                    <w:rPr>
                      <w:color w:val="000000"/>
                      <w:lang w:val="en-GB"/>
                    </w:rPr>
                    <w:t>Nuci</w:t>
                  </w:r>
                  <w:proofErr w:type="spellEnd"/>
                  <w:r w:rsidRPr="009F24EB">
                    <w:rPr>
                      <w:color w:val="000000"/>
                      <w:lang w:val="en-GB"/>
                    </w:rPr>
                    <w:t xml:space="preserve"> </w:t>
                  </w:r>
                  <w:proofErr w:type="spellStart"/>
                  <w:r w:rsidRPr="009F24EB">
                    <w:rPr>
                      <w:color w:val="000000"/>
                      <w:lang w:val="en-GB"/>
                    </w:rPr>
                    <w:t>comune</w:t>
                  </w:r>
                  <w:proofErr w:type="spellEnd"/>
                  <w:r w:rsidRPr="009F24EB">
                    <w:rPr>
                      <w:color w:val="000000"/>
                      <w:lang w:val="en-GB"/>
                    </w:rPr>
                    <w:t xml:space="preserve"> </w:t>
                  </w:r>
                  <w:proofErr w:type="spellStart"/>
                  <w:r w:rsidRPr="009F24EB">
                    <w:rPr>
                      <w:color w:val="000000"/>
                      <w:lang w:val="en-GB"/>
                    </w:rPr>
                    <w:t>decojite</w:t>
                  </w:r>
                  <w:proofErr w:type="spellEnd"/>
                </w:p>
              </w:tc>
              <w:tc>
                <w:tcPr>
                  <w:tcW w:w="2190" w:type="dxa"/>
                  <w:shd w:val="clear" w:color="auto" w:fill="auto"/>
                  <w:vAlign w:val="center"/>
                </w:tcPr>
                <w:p w:rsidR="00800FE2" w:rsidRPr="009F24EB" w:rsidRDefault="00800FE2" w:rsidP="00800FE2">
                  <w:pPr>
                    <w:rPr>
                      <w:color w:val="000000"/>
                      <w:lang w:val="en-GB"/>
                    </w:rPr>
                  </w:pPr>
                  <w:r w:rsidRPr="009F24EB">
                    <w:rPr>
                      <w:color w:val="000000"/>
                      <w:lang w:val="en-GB"/>
                    </w:rPr>
                    <w:t>Tone</w:t>
                  </w:r>
                </w:p>
              </w:tc>
              <w:tc>
                <w:tcPr>
                  <w:tcW w:w="2191" w:type="dxa"/>
                  <w:shd w:val="clear" w:color="auto" w:fill="auto"/>
                  <w:vAlign w:val="center"/>
                </w:tcPr>
                <w:p w:rsidR="00800FE2" w:rsidRPr="009F24EB" w:rsidRDefault="00800FE2" w:rsidP="00800FE2">
                  <w:pPr>
                    <w:jc w:val="right"/>
                    <w:rPr>
                      <w:color w:val="000000"/>
                      <w:lang w:val="en-GB"/>
                    </w:rPr>
                  </w:pPr>
                  <w:r w:rsidRPr="009F24EB">
                    <w:rPr>
                      <w:color w:val="000000"/>
                      <w:lang w:val="en-GB"/>
                    </w:rPr>
                    <w:t>3660,53</w:t>
                  </w:r>
                </w:p>
              </w:tc>
              <w:tc>
                <w:tcPr>
                  <w:tcW w:w="2191" w:type="dxa"/>
                  <w:shd w:val="clear" w:color="auto" w:fill="auto"/>
                  <w:vAlign w:val="center"/>
                </w:tcPr>
                <w:p w:rsidR="00800FE2" w:rsidRPr="009F24EB" w:rsidRDefault="00800FE2" w:rsidP="00800FE2">
                  <w:pPr>
                    <w:jc w:val="right"/>
                    <w:rPr>
                      <w:color w:val="000000"/>
                      <w:lang w:val="en-GB"/>
                    </w:rPr>
                  </w:pPr>
                  <w:r w:rsidRPr="009F24EB">
                    <w:rPr>
                      <w:color w:val="000000"/>
                      <w:lang w:val="en-GB"/>
                    </w:rPr>
                    <w:t>2909,74</w:t>
                  </w:r>
                </w:p>
              </w:tc>
              <w:tc>
                <w:tcPr>
                  <w:tcW w:w="2191" w:type="dxa"/>
                  <w:shd w:val="clear" w:color="auto" w:fill="auto"/>
                  <w:vAlign w:val="center"/>
                </w:tcPr>
                <w:p w:rsidR="00800FE2" w:rsidRPr="009F24EB" w:rsidRDefault="00800FE2" w:rsidP="00800FE2">
                  <w:pPr>
                    <w:jc w:val="right"/>
                    <w:rPr>
                      <w:color w:val="000000"/>
                      <w:lang w:val="en-GB"/>
                    </w:rPr>
                  </w:pPr>
                  <w:r w:rsidRPr="009F24EB">
                    <w:rPr>
                      <w:color w:val="000000"/>
                      <w:lang w:val="en-GB"/>
                    </w:rPr>
                    <w:t>1971,21</w:t>
                  </w:r>
                </w:p>
              </w:tc>
            </w:tr>
            <w:tr w:rsidR="00800FE2" w:rsidRPr="008F1773" w:rsidTr="00800FE2">
              <w:trPr>
                <w:trHeight w:val="170"/>
              </w:trPr>
              <w:tc>
                <w:tcPr>
                  <w:tcW w:w="2190" w:type="dxa"/>
                  <w:shd w:val="clear" w:color="auto" w:fill="auto"/>
                  <w:vAlign w:val="center"/>
                </w:tcPr>
                <w:p w:rsidR="00800FE2" w:rsidRPr="009F24EB" w:rsidRDefault="00800FE2" w:rsidP="00800FE2">
                  <w:pPr>
                    <w:rPr>
                      <w:color w:val="000000"/>
                      <w:lang w:val="en-GB"/>
                    </w:rPr>
                  </w:pPr>
                  <w:proofErr w:type="spellStart"/>
                  <w:r w:rsidRPr="009F24EB">
                    <w:rPr>
                      <w:color w:val="000000"/>
                      <w:lang w:val="en-GB"/>
                    </w:rPr>
                    <w:t>Alune</w:t>
                  </w:r>
                  <w:proofErr w:type="spellEnd"/>
                  <w:r w:rsidRPr="009F24EB">
                    <w:rPr>
                      <w:color w:val="000000"/>
                      <w:lang w:val="en-GB"/>
                    </w:rPr>
                    <w:t xml:space="preserve"> </w:t>
                  </w:r>
                  <w:proofErr w:type="spellStart"/>
                  <w:r w:rsidRPr="009F24EB">
                    <w:rPr>
                      <w:color w:val="000000"/>
                      <w:lang w:val="en-GB"/>
                    </w:rPr>
                    <w:t>decojite</w:t>
                  </w:r>
                  <w:proofErr w:type="spellEnd"/>
                </w:p>
              </w:tc>
              <w:tc>
                <w:tcPr>
                  <w:tcW w:w="2190" w:type="dxa"/>
                  <w:shd w:val="clear" w:color="auto" w:fill="auto"/>
                  <w:vAlign w:val="center"/>
                </w:tcPr>
                <w:p w:rsidR="00800FE2" w:rsidRPr="009F24EB" w:rsidRDefault="00800FE2" w:rsidP="00800FE2">
                  <w:pPr>
                    <w:rPr>
                      <w:color w:val="000000"/>
                      <w:lang w:val="en-GB"/>
                    </w:rPr>
                  </w:pPr>
                  <w:r w:rsidRPr="009F24EB">
                    <w:rPr>
                      <w:color w:val="000000"/>
                      <w:lang w:val="en-GB"/>
                    </w:rPr>
                    <w:t>Tone</w:t>
                  </w:r>
                </w:p>
              </w:tc>
              <w:tc>
                <w:tcPr>
                  <w:tcW w:w="2191" w:type="dxa"/>
                  <w:shd w:val="clear" w:color="auto" w:fill="auto"/>
                  <w:vAlign w:val="center"/>
                </w:tcPr>
                <w:p w:rsidR="00800FE2" w:rsidRPr="009F24EB" w:rsidRDefault="00800FE2" w:rsidP="00800FE2">
                  <w:pPr>
                    <w:jc w:val="right"/>
                    <w:rPr>
                      <w:color w:val="000000"/>
                      <w:lang w:val="en-GB"/>
                    </w:rPr>
                  </w:pPr>
                  <w:r w:rsidRPr="009F24EB">
                    <w:rPr>
                      <w:color w:val="000000"/>
                      <w:lang w:val="en-GB"/>
                    </w:rPr>
                    <w:t>2,92</w:t>
                  </w:r>
                </w:p>
              </w:tc>
              <w:tc>
                <w:tcPr>
                  <w:tcW w:w="2191" w:type="dxa"/>
                  <w:shd w:val="clear" w:color="auto" w:fill="auto"/>
                  <w:vAlign w:val="center"/>
                </w:tcPr>
                <w:p w:rsidR="00800FE2" w:rsidRPr="009F24EB" w:rsidRDefault="00800FE2" w:rsidP="00800FE2">
                  <w:pPr>
                    <w:jc w:val="right"/>
                    <w:rPr>
                      <w:color w:val="000000"/>
                      <w:lang w:val="en-GB"/>
                    </w:rPr>
                  </w:pPr>
                  <w:r w:rsidRPr="009F24EB">
                    <w:rPr>
                      <w:color w:val="000000"/>
                      <w:lang w:val="en-GB"/>
                    </w:rPr>
                    <w:t>2,76</w:t>
                  </w:r>
                </w:p>
              </w:tc>
              <w:tc>
                <w:tcPr>
                  <w:tcW w:w="2191" w:type="dxa"/>
                  <w:shd w:val="clear" w:color="auto" w:fill="auto"/>
                  <w:vAlign w:val="center"/>
                </w:tcPr>
                <w:p w:rsidR="00800FE2" w:rsidRPr="009F24EB" w:rsidRDefault="00800FE2" w:rsidP="00800FE2">
                  <w:pPr>
                    <w:jc w:val="right"/>
                    <w:rPr>
                      <w:color w:val="000000"/>
                      <w:lang w:val="en-GB"/>
                    </w:rPr>
                  </w:pPr>
                  <w:r w:rsidRPr="009F24EB">
                    <w:rPr>
                      <w:color w:val="000000"/>
                      <w:lang w:val="en-GB"/>
                    </w:rPr>
                    <w:t> </w:t>
                  </w:r>
                </w:p>
              </w:tc>
            </w:tr>
            <w:tr w:rsidR="00800FE2" w:rsidRPr="008F1773" w:rsidTr="00800FE2">
              <w:trPr>
                <w:trHeight w:val="170"/>
              </w:trPr>
              <w:tc>
                <w:tcPr>
                  <w:tcW w:w="2190" w:type="dxa"/>
                  <w:shd w:val="clear" w:color="auto" w:fill="auto"/>
                  <w:vAlign w:val="center"/>
                </w:tcPr>
                <w:p w:rsidR="00800FE2" w:rsidRPr="009F24EB" w:rsidRDefault="00800FE2" w:rsidP="00800FE2">
                  <w:pPr>
                    <w:rPr>
                      <w:color w:val="000000"/>
                      <w:sz w:val="24"/>
                      <w:szCs w:val="24"/>
                      <w:lang w:val="en-GB"/>
                    </w:rPr>
                  </w:pPr>
                  <w:proofErr w:type="spellStart"/>
                  <w:r w:rsidRPr="009F24EB">
                    <w:rPr>
                      <w:color w:val="000000"/>
                      <w:lang w:val="en-GB"/>
                    </w:rPr>
                    <w:t>Alune</w:t>
                  </w:r>
                  <w:proofErr w:type="spellEnd"/>
                  <w:r w:rsidRPr="009F24EB">
                    <w:rPr>
                      <w:color w:val="000000"/>
                      <w:lang w:val="en-GB"/>
                    </w:rPr>
                    <w:t xml:space="preserve"> </w:t>
                  </w:r>
                  <w:proofErr w:type="spellStart"/>
                  <w:r w:rsidRPr="009F24EB">
                    <w:rPr>
                      <w:color w:val="000000"/>
                      <w:lang w:val="en-GB"/>
                    </w:rPr>
                    <w:t>în</w:t>
                  </w:r>
                  <w:proofErr w:type="spellEnd"/>
                  <w:r w:rsidRPr="009F24EB">
                    <w:rPr>
                      <w:color w:val="000000"/>
                      <w:lang w:val="en-GB"/>
                    </w:rPr>
                    <w:t xml:space="preserve"> </w:t>
                  </w:r>
                  <w:proofErr w:type="spellStart"/>
                  <w:r w:rsidRPr="009F24EB">
                    <w:rPr>
                      <w:color w:val="000000"/>
                      <w:lang w:val="en-GB"/>
                    </w:rPr>
                    <w:t>coajă</w:t>
                  </w:r>
                  <w:proofErr w:type="spellEnd"/>
                </w:p>
              </w:tc>
              <w:tc>
                <w:tcPr>
                  <w:tcW w:w="2190" w:type="dxa"/>
                  <w:shd w:val="clear" w:color="auto" w:fill="auto"/>
                  <w:vAlign w:val="center"/>
                </w:tcPr>
                <w:p w:rsidR="00800FE2" w:rsidRPr="009F24EB" w:rsidRDefault="00800FE2" w:rsidP="00800FE2">
                  <w:pPr>
                    <w:rPr>
                      <w:color w:val="000000"/>
                      <w:lang w:val="en-GB"/>
                    </w:rPr>
                  </w:pPr>
                  <w:r w:rsidRPr="009F24EB">
                    <w:rPr>
                      <w:color w:val="000000"/>
                      <w:lang w:val="en-GB"/>
                    </w:rPr>
                    <w:t>Tone</w:t>
                  </w:r>
                </w:p>
              </w:tc>
              <w:tc>
                <w:tcPr>
                  <w:tcW w:w="2191" w:type="dxa"/>
                  <w:shd w:val="clear" w:color="auto" w:fill="auto"/>
                  <w:vAlign w:val="center"/>
                </w:tcPr>
                <w:p w:rsidR="00800FE2" w:rsidRPr="009F24EB" w:rsidRDefault="00800FE2" w:rsidP="00800FE2">
                  <w:pPr>
                    <w:jc w:val="right"/>
                    <w:rPr>
                      <w:color w:val="000000"/>
                      <w:lang w:val="en-GB"/>
                    </w:rPr>
                  </w:pPr>
                  <w:r w:rsidRPr="009F24EB">
                    <w:rPr>
                      <w:color w:val="000000"/>
                      <w:lang w:val="en-GB"/>
                    </w:rPr>
                    <w:t>0,22</w:t>
                  </w:r>
                </w:p>
              </w:tc>
              <w:tc>
                <w:tcPr>
                  <w:tcW w:w="2191" w:type="dxa"/>
                  <w:shd w:val="clear" w:color="auto" w:fill="auto"/>
                  <w:vAlign w:val="center"/>
                </w:tcPr>
                <w:p w:rsidR="00800FE2" w:rsidRPr="009F24EB" w:rsidRDefault="00800FE2" w:rsidP="00800FE2">
                  <w:pPr>
                    <w:jc w:val="right"/>
                    <w:rPr>
                      <w:color w:val="000000"/>
                      <w:lang w:val="en-GB"/>
                    </w:rPr>
                  </w:pPr>
                  <w:r w:rsidRPr="009F24EB">
                    <w:rPr>
                      <w:color w:val="000000"/>
                      <w:lang w:val="en-GB"/>
                    </w:rPr>
                    <w:t>1,00</w:t>
                  </w:r>
                </w:p>
              </w:tc>
              <w:tc>
                <w:tcPr>
                  <w:tcW w:w="2191" w:type="dxa"/>
                  <w:shd w:val="clear" w:color="auto" w:fill="auto"/>
                  <w:vAlign w:val="center"/>
                </w:tcPr>
                <w:p w:rsidR="00800FE2" w:rsidRPr="009F24EB" w:rsidRDefault="00800FE2" w:rsidP="00800FE2">
                  <w:pPr>
                    <w:jc w:val="right"/>
                    <w:rPr>
                      <w:color w:val="000000"/>
                      <w:lang w:val="en-GB"/>
                    </w:rPr>
                  </w:pPr>
                  <w:r w:rsidRPr="009F24EB">
                    <w:rPr>
                      <w:color w:val="000000"/>
                      <w:lang w:val="en-GB"/>
                    </w:rPr>
                    <w:t>3,17</w:t>
                  </w:r>
                </w:p>
              </w:tc>
            </w:tr>
            <w:tr w:rsidR="00800FE2" w:rsidRPr="008F1773" w:rsidTr="00800FE2">
              <w:tc>
                <w:tcPr>
                  <w:tcW w:w="4380" w:type="dxa"/>
                  <w:gridSpan w:val="2"/>
                  <w:vAlign w:val="center"/>
                </w:tcPr>
                <w:p w:rsidR="00800FE2" w:rsidRPr="00B17F2F" w:rsidRDefault="00800FE2" w:rsidP="00800FE2">
                  <w:pPr>
                    <w:spacing w:line="276" w:lineRule="auto"/>
                    <w:jc w:val="center"/>
                    <w:rPr>
                      <w:rFonts w:ascii="Times New Roman" w:eastAsia="Calibri" w:hAnsi="Times New Roman" w:cs="Times New Roman"/>
                      <w:b/>
                      <w:szCs w:val="27"/>
                      <w:lang w:val="ro-RO"/>
                    </w:rPr>
                  </w:pPr>
                  <w:r w:rsidRPr="00B17F2F">
                    <w:rPr>
                      <w:rFonts w:ascii="Times New Roman" w:eastAsia="Calibri" w:hAnsi="Times New Roman" w:cs="Times New Roman"/>
                      <w:b/>
                      <w:szCs w:val="27"/>
                      <w:lang w:val="ro-RO"/>
                    </w:rPr>
                    <w:t>Total</w:t>
                  </w:r>
                </w:p>
              </w:tc>
              <w:tc>
                <w:tcPr>
                  <w:tcW w:w="2191" w:type="dxa"/>
                  <w:shd w:val="clear" w:color="auto" w:fill="auto"/>
                  <w:vAlign w:val="center"/>
                </w:tcPr>
                <w:p w:rsidR="00800FE2" w:rsidRPr="009F24EB" w:rsidRDefault="00800FE2" w:rsidP="00800FE2">
                  <w:pPr>
                    <w:jc w:val="right"/>
                    <w:rPr>
                      <w:rFonts w:ascii="Calibri" w:hAnsi="Calibri" w:cs="Calibri"/>
                      <w:b/>
                      <w:color w:val="000000"/>
                      <w:lang w:val="en-GB"/>
                    </w:rPr>
                  </w:pPr>
                  <w:r w:rsidRPr="009F24EB">
                    <w:rPr>
                      <w:rFonts w:ascii="Calibri" w:hAnsi="Calibri" w:cs="Calibri"/>
                      <w:b/>
                      <w:color w:val="000000"/>
                      <w:lang w:val="en-GB"/>
                    </w:rPr>
                    <w:t>6164,37</w:t>
                  </w:r>
                </w:p>
              </w:tc>
              <w:tc>
                <w:tcPr>
                  <w:tcW w:w="2191" w:type="dxa"/>
                  <w:shd w:val="clear" w:color="auto" w:fill="auto"/>
                  <w:vAlign w:val="center"/>
                </w:tcPr>
                <w:p w:rsidR="00800FE2" w:rsidRPr="009F24EB" w:rsidRDefault="00800FE2" w:rsidP="00800FE2">
                  <w:pPr>
                    <w:jc w:val="right"/>
                    <w:rPr>
                      <w:rFonts w:ascii="Calibri" w:hAnsi="Calibri" w:cs="Calibri"/>
                      <w:b/>
                      <w:color w:val="000000"/>
                      <w:lang w:val="en-GB"/>
                    </w:rPr>
                  </w:pPr>
                  <w:r w:rsidRPr="009F24EB">
                    <w:rPr>
                      <w:rFonts w:ascii="Calibri" w:hAnsi="Calibri" w:cs="Calibri"/>
                      <w:b/>
                      <w:color w:val="000000"/>
                      <w:lang w:val="en-GB"/>
                    </w:rPr>
                    <w:t>10463,18</w:t>
                  </w:r>
                </w:p>
              </w:tc>
              <w:tc>
                <w:tcPr>
                  <w:tcW w:w="2191" w:type="dxa"/>
                  <w:shd w:val="clear" w:color="auto" w:fill="auto"/>
                  <w:vAlign w:val="center"/>
                </w:tcPr>
                <w:p w:rsidR="00800FE2" w:rsidRPr="009F24EB" w:rsidRDefault="00800FE2" w:rsidP="00800FE2">
                  <w:pPr>
                    <w:jc w:val="right"/>
                    <w:rPr>
                      <w:rFonts w:ascii="Calibri" w:hAnsi="Calibri" w:cs="Calibri"/>
                      <w:b/>
                      <w:color w:val="000000"/>
                      <w:lang w:val="en-GB"/>
                    </w:rPr>
                  </w:pPr>
                  <w:r w:rsidRPr="009F24EB">
                    <w:rPr>
                      <w:rFonts w:ascii="Calibri" w:hAnsi="Calibri" w:cs="Calibri"/>
                      <w:b/>
                      <w:color w:val="000000"/>
                      <w:lang w:val="en-GB"/>
                    </w:rPr>
                    <w:t>3567,04</w:t>
                  </w:r>
                </w:p>
              </w:tc>
            </w:tr>
          </w:tbl>
          <w:p w:rsidR="002F25B9" w:rsidRPr="00E544F6" w:rsidRDefault="009F24EB" w:rsidP="009F24EB">
            <w:pPr>
              <w:spacing w:after="0" w:line="276" w:lineRule="auto"/>
              <w:ind w:firstLine="720"/>
              <w:jc w:val="both"/>
              <w:rPr>
                <w:rFonts w:ascii="Times New Roman" w:eastAsia="Times New Roman" w:hAnsi="Times New Roman" w:cs="Times New Roman"/>
                <w:color w:val="000000"/>
                <w:sz w:val="24"/>
                <w:szCs w:val="24"/>
                <w:lang w:val="ro-RO" w:eastAsia="ru-RU"/>
              </w:rPr>
            </w:pPr>
            <w:r>
              <w:rPr>
                <w:rFonts w:ascii="Times New Roman" w:eastAsia="Calibri" w:hAnsi="Times New Roman" w:cs="Times New Roman"/>
                <w:sz w:val="24"/>
                <w:szCs w:val="27"/>
                <w:lang w:val="ro-RO"/>
              </w:rPr>
              <w:t>Datele cu privire la import și export sunt generate de Serviciul vamal.</w:t>
            </w:r>
          </w:p>
        </w:tc>
      </w:tr>
      <w:tr w:rsidR="00645815" w:rsidRPr="002F25B9"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lastRenderedPageBreak/>
              <w:t> </w:t>
            </w:r>
          </w:p>
        </w:tc>
      </w:tr>
      <w:tr w:rsidR="00645815" w:rsidRPr="00E544F6"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b/>
                <w:bCs/>
                <w:color w:val="000000"/>
                <w:sz w:val="24"/>
                <w:szCs w:val="24"/>
                <w:lang w:val="ro-MD" w:eastAsia="ru-RU"/>
              </w:rPr>
              <w:t>3. Obiectivele urmărite şi soluţiile propuse</w:t>
            </w:r>
          </w:p>
        </w:tc>
      </w:tr>
      <w:tr w:rsidR="00645815" w:rsidRPr="00E544F6"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A410F0" w:rsidRDefault="00645815" w:rsidP="00A410F0">
            <w:pPr>
              <w:spacing w:after="0" w:line="240" w:lineRule="auto"/>
              <w:ind w:firstLine="709"/>
              <w:rPr>
                <w:rFonts w:ascii="Times New Roman" w:eastAsia="Times New Roman" w:hAnsi="Times New Roman" w:cs="Times New Roman"/>
                <w:color w:val="000000"/>
                <w:sz w:val="24"/>
                <w:szCs w:val="24"/>
                <w:lang w:val="ro-MD" w:eastAsia="ru-RU"/>
              </w:rPr>
            </w:pPr>
            <w:r w:rsidRPr="00A410F0">
              <w:rPr>
                <w:rFonts w:ascii="Times New Roman" w:eastAsia="Times New Roman" w:hAnsi="Times New Roman" w:cs="Times New Roman"/>
                <w:color w:val="000000"/>
                <w:sz w:val="24"/>
                <w:szCs w:val="24"/>
                <w:lang w:val="ro-MD" w:eastAsia="ru-RU"/>
              </w:rPr>
              <w:t xml:space="preserve">3.1. Principalele prevederi ale proiectului </w:t>
            </w:r>
            <w:proofErr w:type="spellStart"/>
            <w:r w:rsidRPr="00A410F0">
              <w:rPr>
                <w:rFonts w:ascii="Times New Roman" w:eastAsia="Times New Roman" w:hAnsi="Times New Roman" w:cs="Times New Roman"/>
                <w:color w:val="000000"/>
                <w:sz w:val="24"/>
                <w:szCs w:val="24"/>
                <w:lang w:val="ro-MD" w:eastAsia="ru-RU"/>
              </w:rPr>
              <w:t>şi</w:t>
            </w:r>
            <w:proofErr w:type="spellEnd"/>
            <w:r w:rsidRPr="00A410F0">
              <w:rPr>
                <w:rFonts w:ascii="Times New Roman" w:eastAsia="Times New Roman" w:hAnsi="Times New Roman" w:cs="Times New Roman"/>
                <w:color w:val="000000"/>
                <w:sz w:val="24"/>
                <w:szCs w:val="24"/>
                <w:lang w:val="ro-MD" w:eastAsia="ru-RU"/>
              </w:rPr>
              <w:t xml:space="preserve"> </w:t>
            </w:r>
            <w:proofErr w:type="spellStart"/>
            <w:r w:rsidRPr="00A410F0">
              <w:rPr>
                <w:rFonts w:ascii="Times New Roman" w:eastAsia="Times New Roman" w:hAnsi="Times New Roman" w:cs="Times New Roman"/>
                <w:color w:val="000000"/>
                <w:sz w:val="24"/>
                <w:szCs w:val="24"/>
                <w:lang w:val="ro-MD" w:eastAsia="ru-RU"/>
              </w:rPr>
              <w:t>evidenţierea</w:t>
            </w:r>
            <w:proofErr w:type="spellEnd"/>
            <w:r w:rsidRPr="00A410F0">
              <w:rPr>
                <w:rFonts w:ascii="Times New Roman" w:eastAsia="Times New Roman" w:hAnsi="Times New Roman" w:cs="Times New Roman"/>
                <w:color w:val="000000"/>
                <w:sz w:val="24"/>
                <w:szCs w:val="24"/>
                <w:lang w:val="ro-MD" w:eastAsia="ru-RU"/>
              </w:rPr>
              <w:t xml:space="preserve"> elementelor noi</w:t>
            </w:r>
          </w:p>
          <w:p w:rsidR="00F17012" w:rsidRPr="00F17012" w:rsidRDefault="00F17012" w:rsidP="00A410F0">
            <w:pPr>
              <w:widowControl w:val="0"/>
              <w:autoSpaceDE w:val="0"/>
              <w:autoSpaceDN w:val="0"/>
              <w:adjustRightInd w:val="0"/>
              <w:spacing w:after="0" w:line="240" w:lineRule="auto"/>
              <w:ind w:firstLine="709"/>
              <w:jc w:val="both"/>
              <w:rPr>
                <w:rFonts w:ascii="Times New Roman" w:eastAsia="Calibri" w:hAnsi="Times New Roman" w:cs="Times New Roman"/>
                <w:bCs/>
                <w:sz w:val="24"/>
                <w:szCs w:val="24"/>
                <w:lang w:val="ro-RO" w:eastAsia="ja-JP"/>
              </w:rPr>
            </w:pPr>
            <w:r w:rsidRPr="00F17012">
              <w:rPr>
                <w:rFonts w:ascii="Times New Roman" w:eastAsia="Calibri" w:hAnsi="Times New Roman" w:cs="Times New Roman"/>
                <w:bCs/>
                <w:sz w:val="24"/>
                <w:szCs w:val="24"/>
                <w:lang w:val="ro-RO" w:eastAsia="ja-JP"/>
              </w:rPr>
              <w:t>Principalele aspecte care au condiționat modificarea acestui act sunt:</w:t>
            </w:r>
          </w:p>
          <w:p w:rsidR="00F17012" w:rsidRPr="00A410F0" w:rsidRDefault="00F17012" w:rsidP="00A410F0">
            <w:pPr>
              <w:spacing w:after="0" w:line="240" w:lineRule="auto"/>
              <w:ind w:firstLine="709"/>
              <w:rPr>
                <w:rFonts w:ascii="Times New Roman" w:eastAsia="Times New Roman" w:hAnsi="Times New Roman" w:cs="Times New Roman"/>
                <w:color w:val="000000"/>
                <w:sz w:val="24"/>
                <w:szCs w:val="24"/>
                <w:lang w:val="ro-RO" w:eastAsia="ru-RU"/>
              </w:rPr>
            </w:pPr>
            <w:r w:rsidRPr="00A410F0">
              <w:rPr>
                <w:rFonts w:ascii="Times New Roman" w:eastAsia="Times New Roman" w:hAnsi="Times New Roman" w:cs="Times New Roman"/>
                <w:color w:val="000000"/>
                <w:sz w:val="24"/>
                <w:szCs w:val="24"/>
                <w:lang w:val="ro-RO" w:eastAsia="ru-RU"/>
              </w:rPr>
              <w:t>1)</w:t>
            </w:r>
            <w:r w:rsidRPr="00A410F0">
              <w:rPr>
                <w:rFonts w:ascii="Times New Roman" w:eastAsia="Times New Roman" w:hAnsi="Times New Roman" w:cs="Times New Roman"/>
                <w:b/>
                <w:color w:val="000000"/>
                <w:sz w:val="24"/>
                <w:szCs w:val="24"/>
                <w:lang w:val="ro-RO" w:eastAsia="ru-RU"/>
              </w:rPr>
              <w:t xml:space="preserve"> </w:t>
            </w:r>
            <w:r w:rsidRPr="00A410F0">
              <w:rPr>
                <w:rFonts w:ascii="Times New Roman" w:eastAsia="Times New Roman" w:hAnsi="Times New Roman" w:cs="Times New Roman"/>
                <w:color w:val="000000"/>
                <w:sz w:val="24"/>
                <w:szCs w:val="24"/>
                <w:lang w:val="ro-RO" w:eastAsia="ru-RU"/>
              </w:rPr>
              <w:t>clauza de armonizare va avea următorul cuprins:</w:t>
            </w:r>
          </w:p>
          <w:p w:rsidR="00F17012" w:rsidRPr="00A410F0" w:rsidRDefault="00F17012" w:rsidP="00A410F0">
            <w:pPr>
              <w:spacing w:after="0" w:line="240" w:lineRule="auto"/>
              <w:ind w:firstLine="709"/>
              <w:rPr>
                <w:rFonts w:ascii="Times New Roman" w:eastAsia="Times New Roman" w:hAnsi="Times New Roman" w:cs="Times New Roman"/>
                <w:color w:val="000000"/>
                <w:sz w:val="24"/>
                <w:szCs w:val="24"/>
                <w:lang w:val="ro-RO" w:eastAsia="ru-RU"/>
              </w:rPr>
            </w:pPr>
            <w:r w:rsidRPr="00A410F0">
              <w:rPr>
                <w:rFonts w:ascii="Times New Roman" w:eastAsia="Times New Roman" w:hAnsi="Times New Roman" w:cs="Times New Roman"/>
                <w:color w:val="000000"/>
                <w:sz w:val="24"/>
                <w:szCs w:val="24"/>
                <w:lang w:val="ro-RO" w:eastAsia="ru-RU"/>
              </w:rPr>
              <w:t>„CODEX STAN 131-1981 Standard privind normele codex pentru fisticul decojit CXS 131-1981 (amendat în 2022)”;</w:t>
            </w:r>
          </w:p>
          <w:p w:rsidR="00F17012" w:rsidRPr="00A410F0" w:rsidRDefault="00F17012" w:rsidP="00A410F0">
            <w:pPr>
              <w:spacing w:after="0" w:line="240" w:lineRule="auto"/>
              <w:ind w:firstLine="709"/>
              <w:rPr>
                <w:rFonts w:ascii="Times New Roman" w:eastAsia="Times New Roman" w:hAnsi="Times New Roman" w:cs="Times New Roman"/>
                <w:color w:val="000000"/>
                <w:sz w:val="24"/>
                <w:szCs w:val="24"/>
                <w:lang w:val="ro-RO" w:eastAsia="ru-RU"/>
              </w:rPr>
            </w:pPr>
            <w:r w:rsidRPr="00A410F0">
              <w:rPr>
                <w:rFonts w:ascii="Times New Roman" w:eastAsia="Times New Roman" w:hAnsi="Times New Roman" w:cs="Times New Roman"/>
                <w:color w:val="000000"/>
                <w:sz w:val="24"/>
                <w:szCs w:val="24"/>
                <w:lang w:val="ro-RO" w:eastAsia="ru-RU"/>
              </w:rPr>
              <w:t>2) pct. 1 va avea următorul cuprins:</w:t>
            </w:r>
          </w:p>
          <w:p w:rsidR="00F17012" w:rsidRPr="00A410F0" w:rsidRDefault="00F17012" w:rsidP="00A410F0">
            <w:pPr>
              <w:spacing w:after="0" w:line="240" w:lineRule="auto"/>
              <w:ind w:firstLine="709"/>
              <w:rPr>
                <w:rFonts w:ascii="Times New Roman" w:eastAsia="Times New Roman" w:hAnsi="Times New Roman" w:cs="Times New Roman"/>
                <w:color w:val="000000"/>
                <w:sz w:val="24"/>
                <w:szCs w:val="24"/>
                <w:lang w:val="ro-RO" w:eastAsia="ru-RU"/>
              </w:rPr>
            </w:pPr>
            <w:r w:rsidRPr="00A410F0">
              <w:rPr>
                <w:rFonts w:ascii="Times New Roman" w:eastAsia="Times New Roman" w:hAnsi="Times New Roman" w:cs="Times New Roman"/>
                <w:color w:val="000000"/>
                <w:sz w:val="24"/>
                <w:szCs w:val="24"/>
                <w:lang w:val="ro-RO" w:eastAsia="ru-RU"/>
              </w:rPr>
              <w:t xml:space="preserve">„1. </w:t>
            </w:r>
            <w:proofErr w:type="spellStart"/>
            <w:r w:rsidRPr="00A410F0">
              <w:rPr>
                <w:rFonts w:ascii="Times New Roman" w:eastAsia="Times New Roman" w:hAnsi="Times New Roman" w:cs="Times New Roman"/>
                <w:color w:val="000000"/>
                <w:sz w:val="24"/>
                <w:szCs w:val="24"/>
                <w:lang w:val="ro-RO" w:eastAsia="ru-RU"/>
              </w:rPr>
              <w:t>Cerinţele</w:t>
            </w:r>
            <w:proofErr w:type="spellEnd"/>
            <w:r w:rsidRPr="00A410F0">
              <w:rPr>
                <w:rFonts w:ascii="Times New Roman" w:eastAsia="Times New Roman" w:hAnsi="Times New Roman" w:cs="Times New Roman"/>
                <w:color w:val="000000"/>
                <w:sz w:val="24"/>
                <w:szCs w:val="24"/>
                <w:lang w:val="ro-RO" w:eastAsia="ru-RU"/>
              </w:rPr>
              <w:t xml:space="preserve"> de calitate </w:t>
            </w:r>
            <w:proofErr w:type="spellStart"/>
            <w:r w:rsidRPr="00A410F0">
              <w:rPr>
                <w:rFonts w:ascii="Times New Roman" w:eastAsia="Times New Roman" w:hAnsi="Times New Roman" w:cs="Times New Roman"/>
                <w:color w:val="000000"/>
                <w:sz w:val="24"/>
                <w:szCs w:val="24"/>
                <w:lang w:val="ro-RO" w:eastAsia="ru-RU"/>
              </w:rPr>
              <w:t>şi</w:t>
            </w:r>
            <w:proofErr w:type="spellEnd"/>
            <w:r w:rsidRPr="00A410F0">
              <w:rPr>
                <w:rFonts w:ascii="Times New Roman" w:eastAsia="Times New Roman" w:hAnsi="Times New Roman" w:cs="Times New Roman"/>
                <w:color w:val="000000"/>
                <w:sz w:val="24"/>
                <w:szCs w:val="24"/>
                <w:lang w:val="ro-RO" w:eastAsia="ru-RU"/>
              </w:rPr>
              <w:t xml:space="preserve"> comercializare pentru fructe de culturi nucifere  (în continuare – </w:t>
            </w:r>
            <w:proofErr w:type="spellStart"/>
            <w:r w:rsidRPr="00A410F0">
              <w:rPr>
                <w:rFonts w:ascii="Times New Roman" w:eastAsia="Times New Roman" w:hAnsi="Times New Roman" w:cs="Times New Roman"/>
                <w:color w:val="000000"/>
                <w:sz w:val="24"/>
                <w:szCs w:val="24"/>
                <w:lang w:val="ro-RO" w:eastAsia="ru-RU"/>
              </w:rPr>
              <w:t>Cerinţe</w:t>
            </w:r>
            <w:proofErr w:type="spellEnd"/>
            <w:r w:rsidRPr="00A410F0">
              <w:rPr>
                <w:rFonts w:ascii="Times New Roman" w:eastAsia="Times New Roman" w:hAnsi="Times New Roman" w:cs="Times New Roman"/>
                <w:color w:val="000000"/>
                <w:sz w:val="24"/>
                <w:szCs w:val="24"/>
                <w:lang w:val="ro-RO" w:eastAsia="ru-RU"/>
              </w:rPr>
              <w:t xml:space="preserve">) stabilesc </w:t>
            </w:r>
            <w:proofErr w:type="spellStart"/>
            <w:r w:rsidRPr="00A410F0">
              <w:rPr>
                <w:rFonts w:ascii="Times New Roman" w:eastAsia="Times New Roman" w:hAnsi="Times New Roman" w:cs="Times New Roman"/>
                <w:color w:val="000000"/>
                <w:sz w:val="24"/>
                <w:szCs w:val="24"/>
                <w:lang w:val="ro-RO" w:eastAsia="ru-RU"/>
              </w:rPr>
              <w:t>cerinţele</w:t>
            </w:r>
            <w:proofErr w:type="spellEnd"/>
            <w:r w:rsidRPr="00A410F0">
              <w:rPr>
                <w:rFonts w:ascii="Times New Roman" w:eastAsia="Times New Roman" w:hAnsi="Times New Roman" w:cs="Times New Roman"/>
                <w:color w:val="000000"/>
                <w:sz w:val="24"/>
                <w:szCs w:val="24"/>
                <w:lang w:val="ro-RO" w:eastAsia="ru-RU"/>
              </w:rPr>
              <w:t xml:space="preserve"> minime de calitate </w:t>
            </w:r>
            <w:proofErr w:type="spellStart"/>
            <w:r w:rsidRPr="00A410F0">
              <w:rPr>
                <w:rFonts w:ascii="Times New Roman" w:eastAsia="Times New Roman" w:hAnsi="Times New Roman" w:cs="Times New Roman"/>
                <w:color w:val="000000"/>
                <w:sz w:val="24"/>
                <w:szCs w:val="24"/>
                <w:lang w:val="ro-RO" w:eastAsia="ru-RU"/>
              </w:rPr>
              <w:t>şi</w:t>
            </w:r>
            <w:proofErr w:type="spellEnd"/>
            <w:r w:rsidRPr="00A410F0">
              <w:rPr>
                <w:rFonts w:ascii="Times New Roman" w:eastAsia="Times New Roman" w:hAnsi="Times New Roman" w:cs="Times New Roman"/>
                <w:color w:val="000000"/>
                <w:sz w:val="24"/>
                <w:szCs w:val="24"/>
                <w:lang w:val="ro-RO" w:eastAsia="ru-RU"/>
              </w:rPr>
              <w:t xml:space="preserve"> comercializare pentru fructele de culturi nucifere, miezul din fructe de culturi nucifere, destinate comercializării pentru consumul uman </w:t>
            </w:r>
            <w:proofErr w:type="spellStart"/>
            <w:r w:rsidRPr="00A410F0">
              <w:rPr>
                <w:rFonts w:ascii="Times New Roman" w:eastAsia="Times New Roman" w:hAnsi="Times New Roman" w:cs="Times New Roman"/>
                <w:color w:val="000000"/>
                <w:sz w:val="24"/>
                <w:szCs w:val="24"/>
                <w:lang w:val="ro-RO" w:eastAsia="ru-RU"/>
              </w:rPr>
              <w:t>şi</w:t>
            </w:r>
            <w:proofErr w:type="spellEnd"/>
            <w:r w:rsidRPr="00A410F0">
              <w:rPr>
                <w:rFonts w:ascii="Times New Roman" w:eastAsia="Times New Roman" w:hAnsi="Times New Roman" w:cs="Times New Roman"/>
                <w:color w:val="000000"/>
                <w:sz w:val="24"/>
                <w:szCs w:val="24"/>
                <w:lang w:val="ro-RO" w:eastAsia="ru-RU"/>
              </w:rPr>
              <w:t xml:space="preserve"> nuci verzi pentru procesare (în continuare – fructe de culturi nucifere), provenite atât din </w:t>
            </w:r>
            <w:proofErr w:type="spellStart"/>
            <w:r w:rsidRPr="00A410F0">
              <w:rPr>
                <w:rFonts w:ascii="Times New Roman" w:eastAsia="Times New Roman" w:hAnsi="Times New Roman" w:cs="Times New Roman"/>
                <w:color w:val="000000"/>
                <w:sz w:val="24"/>
                <w:szCs w:val="24"/>
                <w:lang w:val="ro-RO" w:eastAsia="ru-RU"/>
              </w:rPr>
              <w:t>producţia</w:t>
            </w:r>
            <w:proofErr w:type="spellEnd"/>
            <w:r w:rsidRPr="00A410F0">
              <w:rPr>
                <w:rFonts w:ascii="Times New Roman" w:eastAsia="Times New Roman" w:hAnsi="Times New Roman" w:cs="Times New Roman"/>
                <w:color w:val="000000"/>
                <w:sz w:val="24"/>
                <w:szCs w:val="24"/>
                <w:lang w:val="ro-RO" w:eastAsia="ru-RU"/>
              </w:rPr>
              <w:t xml:space="preserve"> internă, cât </w:t>
            </w:r>
            <w:proofErr w:type="spellStart"/>
            <w:r w:rsidRPr="00A410F0">
              <w:rPr>
                <w:rFonts w:ascii="Times New Roman" w:eastAsia="Times New Roman" w:hAnsi="Times New Roman" w:cs="Times New Roman"/>
                <w:color w:val="000000"/>
                <w:sz w:val="24"/>
                <w:szCs w:val="24"/>
                <w:lang w:val="ro-RO" w:eastAsia="ru-RU"/>
              </w:rPr>
              <w:t>şi</w:t>
            </w:r>
            <w:proofErr w:type="spellEnd"/>
            <w:r w:rsidRPr="00A410F0">
              <w:rPr>
                <w:rFonts w:ascii="Times New Roman" w:eastAsia="Times New Roman" w:hAnsi="Times New Roman" w:cs="Times New Roman"/>
                <w:color w:val="000000"/>
                <w:sz w:val="24"/>
                <w:szCs w:val="24"/>
                <w:lang w:val="ro-RO" w:eastAsia="ru-RU"/>
              </w:rPr>
              <w:t xml:space="preserve"> din import.”;</w:t>
            </w:r>
          </w:p>
          <w:p w:rsidR="00F17012" w:rsidRPr="00E914EF" w:rsidRDefault="00F17012" w:rsidP="00E914EF">
            <w:pPr>
              <w:spacing w:after="0" w:line="240" w:lineRule="auto"/>
              <w:ind w:firstLine="709"/>
              <w:rPr>
                <w:rFonts w:ascii="Times New Roman" w:eastAsia="Times New Roman" w:hAnsi="Times New Roman" w:cs="Times New Roman"/>
                <w:color w:val="000000"/>
                <w:sz w:val="24"/>
                <w:szCs w:val="24"/>
                <w:lang w:val="ro-MD" w:eastAsia="ru-RU"/>
              </w:rPr>
            </w:pPr>
          </w:p>
        </w:tc>
      </w:tr>
      <w:tr w:rsidR="00645815" w:rsidRPr="00E544F6" w:rsidTr="00645815">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3.2. Opţiunile alternative analizate şi motivele pentru care acestea nu au fost luate în considerare</w:t>
            </w:r>
            <w:r w:rsidR="00794BAB">
              <w:rPr>
                <w:rFonts w:ascii="Times New Roman" w:eastAsia="Times New Roman" w:hAnsi="Times New Roman" w:cs="Times New Roman"/>
                <w:color w:val="000000"/>
                <w:sz w:val="24"/>
                <w:szCs w:val="24"/>
                <w:lang w:val="ro-MD" w:eastAsia="ru-RU"/>
              </w:rPr>
              <w:t>.</w:t>
            </w:r>
          </w:p>
          <w:p w:rsidR="00794BAB" w:rsidRPr="00E914EF" w:rsidRDefault="00794BAB" w:rsidP="00E914EF">
            <w:pPr>
              <w:spacing w:after="0" w:line="240" w:lineRule="auto"/>
              <w:ind w:firstLine="709"/>
              <w:rPr>
                <w:rFonts w:ascii="Times New Roman" w:eastAsia="Times New Roman" w:hAnsi="Times New Roman" w:cs="Times New Roman"/>
                <w:color w:val="000000"/>
                <w:sz w:val="24"/>
                <w:szCs w:val="24"/>
                <w:lang w:val="ro-MD" w:eastAsia="ru-RU"/>
              </w:rPr>
            </w:pPr>
            <w:r w:rsidRPr="00794BAB">
              <w:rPr>
                <w:rFonts w:ascii="Times New Roman" w:eastAsia="Times New Roman" w:hAnsi="Times New Roman" w:cs="Times New Roman"/>
                <w:color w:val="000000"/>
                <w:sz w:val="24"/>
                <w:szCs w:val="24"/>
                <w:lang w:val="ro-MD" w:eastAsia="ru-RU"/>
              </w:rPr>
              <w:t>În contextul celor menționate supra, se constată că aplicarea unor scenarii alternative decât cele expuse prin prisma proiectului propus nu va produce efectul scontat în măsura în care să corespundă atingerii obiectivului stabilit. Respectiv, alte modalități de soluționare a problemei definite și descrise mai sus nu au fost identificate.</w:t>
            </w:r>
          </w:p>
        </w:tc>
      </w:tr>
      <w:tr w:rsidR="00645815" w:rsidRPr="00E544F6"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 </w:t>
            </w:r>
          </w:p>
        </w:tc>
      </w:tr>
      <w:tr w:rsidR="00645815" w:rsidRPr="00E914EF"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b/>
                <w:bCs/>
                <w:color w:val="000000"/>
                <w:sz w:val="24"/>
                <w:szCs w:val="24"/>
                <w:lang w:val="ro-MD" w:eastAsia="ru-RU"/>
              </w:rPr>
              <w:t>4. Analiza impactului de reglementare</w:t>
            </w:r>
          </w:p>
        </w:tc>
      </w:tr>
      <w:tr w:rsidR="00645815" w:rsidRPr="00E914EF"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D90C87">
            <w:pPr>
              <w:spacing w:after="0" w:line="240" w:lineRule="auto"/>
              <w:ind w:firstLine="284"/>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4.1. Impactul asupra sectorului public</w:t>
            </w:r>
          </w:p>
          <w:p w:rsidR="00D90C87" w:rsidRPr="00E914EF" w:rsidRDefault="00D90C87" w:rsidP="00D90C87">
            <w:pPr>
              <w:spacing w:after="0" w:line="240" w:lineRule="auto"/>
              <w:ind w:firstLine="284"/>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Nu este aplicabil.</w:t>
            </w:r>
          </w:p>
        </w:tc>
      </w:tr>
      <w:tr w:rsidR="00645815" w:rsidRPr="00E544F6"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D90C87">
            <w:pPr>
              <w:spacing w:after="0" w:line="240" w:lineRule="auto"/>
              <w:ind w:firstLine="284"/>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 xml:space="preserve">4.2. Impactul financiar </w:t>
            </w:r>
            <w:proofErr w:type="spellStart"/>
            <w:r w:rsidRPr="00E914EF">
              <w:rPr>
                <w:rFonts w:ascii="Times New Roman" w:eastAsia="Times New Roman" w:hAnsi="Times New Roman" w:cs="Times New Roman"/>
                <w:color w:val="000000"/>
                <w:sz w:val="24"/>
                <w:szCs w:val="24"/>
                <w:lang w:val="ro-MD" w:eastAsia="ru-RU"/>
              </w:rPr>
              <w:t>şi</w:t>
            </w:r>
            <w:proofErr w:type="spellEnd"/>
            <w:r w:rsidRPr="00E914EF">
              <w:rPr>
                <w:rFonts w:ascii="Times New Roman" w:eastAsia="Times New Roman" w:hAnsi="Times New Roman" w:cs="Times New Roman"/>
                <w:color w:val="000000"/>
                <w:sz w:val="24"/>
                <w:szCs w:val="24"/>
                <w:lang w:val="ro-MD" w:eastAsia="ru-RU"/>
              </w:rPr>
              <w:t xml:space="preserve"> argumentarea costurilor estimative</w:t>
            </w:r>
          </w:p>
          <w:p w:rsidR="00CF30A6" w:rsidRPr="00E914EF" w:rsidRDefault="00D90C87" w:rsidP="00D90C87">
            <w:pPr>
              <w:spacing w:after="0" w:line="240" w:lineRule="auto"/>
              <w:ind w:firstLine="284"/>
              <w:rPr>
                <w:rFonts w:ascii="Times New Roman" w:eastAsia="Times New Roman" w:hAnsi="Times New Roman" w:cs="Times New Roman"/>
                <w:color w:val="000000"/>
                <w:sz w:val="24"/>
                <w:szCs w:val="24"/>
                <w:lang w:val="ro-MD" w:eastAsia="ru-RU"/>
              </w:rPr>
            </w:pPr>
            <w:r w:rsidRPr="00D90C87">
              <w:rPr>
                <w:rFonts w:ascii="Times New Roman" w:eastAsia="Calibri" w:hAnsi="Times New Roman" w:cs="Times New Roman"/>
                <w:sz w:val="24"/>
                <w:szCs w:val="28"/>
                <w:lang w:val="ro-RO"/>
              </w:rPr>
              <w:t>Nu este aplicabil</w:t>
            </w:r>
          </w:p>
        </w:tc>
      </w:tr>
      <w:tr w:rsidR="00645815" w:rsidRPr="00E914EF" w:rsidTr="00645815">
        <w:trPr>
          <w:trHeight w:val="25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D90C87">
            <w:pPr>
              <w:spacing w:after="0" w:line="240" w:lineRule="auto"/>
              <w:ind w:firstLine="284"/>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4.3. Impactul asupra sectorului privat</w:t>
            </w:r>
          </w:p>
          <w:p w:rsidR="00D90C87" w:rsidRPr="00E914EF" w:rsidRDefault="00D90C87" w:rsidP="00D90C87">
            <w:pPr>
              <w:spacing w:after="0" w:line="240" w:lineRule="auto"/>
              <w:ind w:firstLine="284"/>
              <w:rPr>
                <w:rFonts w:ascii="Times New Roman" w:eastAsia="Times New Roman" w:hAnsi="Times New Roman" w:cs="Times New Roman"/>
                <w:color w:val="000000"/>
                <w:sz w:val="24"/>
                <w:szCs w:val="24"/>
                <w:lang w:val="ro-MD" w:eastAsia="ru-RU"/>
              </w:rPr>
            </w:pPr>
            <w:r w:rsidRPr="00D90C87">
              <w:rPr>
                <w:rFonts w:ascii="Times New Roman" w:eastAsia="Times New Roman" w:hAnsi="Times New Roman" w:cs="Times New Roman"/>
                <w:color w:val="000000"/>
                <w:sz w:val="24"/>
                <w:szCs w:val="24"/>
                <w:lang w:val="ro-MD" w:eastAsia="ru-RU"/>
              </w:rPr>
              <w:t>Nu este aplicabil</w:t>
            </w:r>
          </w:p>
        </w:tc>
      </w:tr>
      <w:tr w:rsidR="00645815" w:rsidRPr="00E544F6" w:rsidTr="00645815">
        <w:trPr>
          <w:trHeight w:val="7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D90C87">
            <w:pPr>
              <w:spacing w:after="0" w:line="240" w:lineRule="auto"/>
              <w:ind w:firstLine="284"/>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4.4. Impactul social</w:t>
            </w:r>
          </w:p>
          <w:p w:rsidR="00D90C87" w:rsidRPr="00E914EF" w:rsidRDefault="00D90C87" w:rsidP="00D90C87">
            <w:pPr>
              <w:spacing w:after="0" w:line="240" w:lineRule="auto"/>
              <w:ind w:firstLine="284"/>
              <w:rPr>
                <w:rFonts w:ascii="Times New Roman" w:eastAsia="Times New Roman" w:hAnsi="Times New Roman" w:cs="Times New Roman"/>
                <w:color w:val="000000"/>
                <w:sz w:val="24"/>
                <w:szCs w:val="24"/>
                <w:lang w:val="ro-MD" w:eastAsia="ru-RU"/>
              </w:rPr>
            </w:pPr>
            <w:r w:rsidRPr="00D90C87">
              <w:rPr>
                <w:rFonts w:ascii="Times New Roman" w:eastAsia="Times New Roman" w:hAnsi="Times New Roman" w:cs="Times New Roman"/>
                <w:color w:val="000000"/>
                <w:sz w:val="24"/>
                <w:szCs w:val="24"/>
                <w:lang w:val="ro-MD" w:eastAsia="ru-RU"/>
              </w:rPr>
              <w:t>Nu este aplicabil</w:t>
            </w:r>
          </w:p>
          <w:p w:rsidR="00645815" w:rsidRDefault="00645815" w:rsidP="00D90C87">
            <w:pPr>
              <w:spacing w:after="0" w:line="240" w:lineRule="auto"/>
              <w:ind w:firstLine="284"/>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4.4.1. Impactul asupra datelor cu caracter personal</w:t>
            </w:r>
          </w:p>
          <w:p w:rsidR="00D90C87" w:rsidRPr="00E914EF" w:rsidRDefault="00D90C87" w:rsidP="00D90C87">
            <w:pPr>
              <w:spacing w:after="0" w:line="240" w:lineRule="auto"/>
              <w:ind w:firstLine="284"/>
              <w:rPr>
                <w:rFonts w:ascii="Times New Roman" w:eastAsia="Times New Roman" w:hAnsi="Times New Roman" w:cs="Times New Roman"/>
                <w:color w:val="000000"/>
                <w:sz w:val="24"/>
                <w:szCs w:val="24"/>
                <w:lang w:val="ro-MD" w:eastAsia="ru-RU"/>
              </w:rPr>
            </w:pPr>
            <w:r w:rsidRPr="00D90C87">
              <w:rPr>
                <w:rFonts w:ascii="Times New Roman" w:eastAsia="Times New Roman" w:hAnsi="Times New Roman" w:cs="Times New Roman"/>
                <w:color w:val="000000"/>
                <w:sz w:val="24"/>
                <w:szCs w:val="24"/>
                <w:lang w:val="ro-MD" w:eastAsia="ru-RU"/>
              </w:rPr>
              <w:lastRenderedPageBreak/>
              <w:t>Nu este aplicabil</w:t>
            </w:r>
          </w:p>
          <w:p w:rsidR="00645815" w:rsidRDefault="00645815" w:rsidP="00D90C87">
            <w:pPr>
              <w:spacing w:after="0" w:line="240" w:lineRule="auto"/>
              <w:ind w:firstLine="284"/>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 xml:space="preserve">4.4.2. Impactul asupra echităţii </w:t>
            </w:r>
            <w:proofErr w:type="spellStart"/>
            <w:r w:rsidRPr="00E914EF">
              <w:rPr>
                <w:rFonts w:ascii="Times New Roman" w:eastAsia="Times New Roman" w:hAnsi="Times New Roman" w:cs="Times New Roman"/>
                <w:color w:val="000000"/>
                <w:sz w:val="24"/>
                <w:szCs w:val="24"/>
                <w:lang w:val="ro-MD" w:eastAsia="ru-RU"/>
              </w:rPr>
              <w:t>şi</w:t>
            </w:r>
            <w:proofErr w:type="spellEnd"/>
            <w:r w:rsidRPr="00E914EF">
              <w:rPr>
                <w:rFonts w:ascii="Times New Roman" w:eastAsia="Times New Roman" w:hAnsi="Times New Roman" w:cs="Times New Roman"/>
                <w:color w:val="000000"/>
                <w:sz w:val="24"/>
                <w:szCs w:val="24"/>
                <w:lang w:val="ro-MD" w:eastAsia="ru-RU"/>
              </w:rPr>
              <w:t xml:space="preserve"> </w:t>
            </w:r>
            <w:proofErr w:type="spellStart"/>
            <w:r w:rsidRPr="00E914EF">
              <w:rPr>
                <w:rFonts w:ascii="Times New Roman" w:eastAsia="Times New Roman" w:hAnsi="Times New Roman" w:cs="Times New Roman"/>
                <w:color w:val="000000"/>
                <w:sz w:val="24"/>
                <w:szCs w:val="24"/>
                <w:lang w:val="ro-MD" w:eastAsia="ru-RU"/>
              </w:rPr>
              <w:t>egalităţii</w:t>
            </w:r>
            <w:proofErr w:type="spellEnd"/>
            <w:r w:rsidRPr="00E914EF">
              <w:rPr>
                <w:rFonts w:ascii="Times New Roman" w:eastAsia="Times New Roman" w:hAnsi="Times New Roman" w:cs="Times New Roman"/>
                <w:color w:val="000000"/>
                <w:sz w:val="24"/>
                <w:szCs w:val="24"/>
                <w:lang w:val="ro-MD" w:eastAsia="ru-RU"/>
              </w:rPr>
              <w:t xml:space="preserve"> de gen</w:t>
            </w:r>
          </w:p>
          <w:p w:rsidR="00D90C87" w:rsidRPr="00E914EF" w:rsidRDefault="00D90C87" w:rsidP="00D90C87">
            <w:pPr>
              <w:spacing w:after="0" w:line="240" w:lineRule="auto"/>
              <w:ind w:firstLine="284"/>
              <w:rPr>
                <w:rFonts w:ascii="Times New Roman" w:eastAsia="Times New Roman" w:hAnsi="Times New Roman" w:cs="Times New Roman"/>
                <w:color w:val="000000"/>
                <w:sz w:val="24"/>
                <w:szCs w:val="24"/>
                <w:lang w:val="ro-MD" w:eastAsia="ru-RU"/>
              </w:rPr>
            </w:pPr>
            <w:r w:rsidRPr="00D90C87">
              <w:rPr>
                <w:rFonts w:ascii="Times New Roman" w:eastAsia="Times New Roman" w:hAnsi="Times New Roman" w:cs="Times New Roman"/>
                <w:color w:val="000000"/>
                <w:sz w:val="24"/>
                <w:szCs w:val="24"/>
                <w:lang w:val="ro-MD" w:eastAsia="ru-RU"/>
              </w:rPr>
              <w:t>Nu este aplicabil</w:t>
            </w:r>
          </w:p>
        </w:tc>
      </w:tr>
      <w:tr w:rsidR="00645815" w:rsidRPr="00E914EF"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D90C87">
            <w:pPr>
              <w:spacing w:after="0" w:line="240" w:lineRule="auto"/>
              <w:ind w:firstLine="284"/>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lastRenderedPageBreak/>
              <w:t>4.5. Impactul asupra mediului</w:t>
            </w:r>
          </w:p>
          <w:p w:rsidR="00D90C87" w:rsidRPr="00E914EF" w:rsidRDefault="00D90C87" w:rsidP="00D90C87">
            <w:pPr>
              <w:spacing w:after="0" w:line="240" w:lineRule="auto"/>
              <w:ind w:firstLine="284"/>
              <w:rPr>
                <w:rFonts w:ascii="Times New Roman" w:eastAsia="Times New Roman" w:hAnsi="Times New Roman" w:cs="Times New Roman"/>
                <w:color w:val="000000"/>
                <w:sz w:val="24"/>
                <w:szCs w:val="24"/>
                <w:lang w:val="ro-MD" w:eastAsia="ru-RU"/>
              </w:rPr>
            </w:pPr>
            <w:r w:rsidRPr="00D90C87">
              <w:rPr>
                <w:rFonts w:ascii="Times New Roman" w:eastAsia="Times New Roman" w:hAnsi="Times New Roman" w:cs="Times New Roman"/>
                <w:color w:val="000000"/>
                <w:sz w:val="24"/>
                <w:szCs w:val="24"/>
                <w:lang w:val="ro-MD" w:eastAsia="ru-RU"/>
              </w:rPr>
              <w:t>Nu este aplicabil</w:t>
            </w:r>
          </w:p>
        </w:tc>
      </w:tr>
      <w:tr w:rsidR="00645815" w:rsidRPr="00E544F6"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D90C87">
            <w:pPr>
              <w:spacing w:after="0" w:line="240" w:lineRule="auto"/>
              <w:ind w:firstLine="284"/>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 xml:space="preserve">4.6. Alte impacturi </w:t>
            </w:r>
            <w:proofErr w:type="spellStart"/>
            <w:r w:rsidRPr="00E914EF">
              <w:rPr>
                <w:rFonts w:ascii="Times New Roman" w:eastAsia="Times New Roman" w:hAnsi="Times New Roman" w:cs="Times New Roman"/>
                <w:color w:val="000000"/>
                <w:sz w:val="24"/>
                <w:szCs w:val="24"/>
                <w:lang w:val="ro-MD" w:eastAsia="ru-RU"/>
              </w:rPr>
              <w:t>şi</w:t>
            </w:r>
            <w:proofErr w:type="spellEnd"/>
            <w:r w:rsidRPr="00E914EF">
              <w:rPr>
                <w:rFonts w:ascii="Times New Roman" w:eastAsia="Times New Roman" w:hAnsi="Times New Roman" w:cs="Times New Roman"/>
                <w:color w:val="000000"/>
                <w:sz w:val="24"/>
                <w:szCs w:val="24"/>
                <w:lang w:val="ro-MD" w:eastAsia="ru-RU"/>
              </w:rPr>
              <w:t xml:space="preserve"> </w:t>
            </w:r>
            <w:proofErr w:type="spellStart"/>
            <w:r w:rsidRPr="00E914EF">
              <w:rPr>
                <w:rFonts w:ascii="Times New Roman" w:eastAsia="Times New Roman" w:hAnsi="Times New Roman" w:cs="Times New Roman"/>
                <w:color w:val="000000"/>
                <w:sz w:val="24"/>
                <w:szCs w:val="24"/>
                <w:lang w:val="ro-MD" w:eastAsia="ru-RU"/>
              </w:rPr>
              <w:t>informaţii</w:t>
            </w:r>
            <w:proofErr w:type="spellEnd"/>
            <w:r w:rsidRPr="00E914EF">
              <w:rPr>
                <w:rFonts w:ascii="Times New Roman" w:eastAsia="Times New Roman" w:hAnsi="Times New Roman" w:cs="Times New Roman"/>
                <w:color w:val="000000"/>
                <w:sz w:val="24"/>
                <w:szCs w:val="24"/>
                <w:lang w:val="ro-MD" w:eastAsia="ru-RU"/>
              </w:rPr>
              <w:t xml:space="preserve"> relevante</w:t>
            </w:r>
          </w:p>
          <w:p w:rsidR="00D90C87" w:rsidRPr="00E914EF" w:rsidRDefault="00D90C87" w:rsidP="00D90C87">
            <w:pPr>
              <w:spacing w:after="0" w:line="240" w:lineRule="auto"/>
              <w:ind w:firstLine="284"/>
              <w:rPr>
                <w:rFonts w:ascii="Times New Roman" w:eastAsia="Times New Roman" w:hAnsi="Times New Roman" w:cs="Times New Roman"/>
                <w:color w:val="000000"/>
                <w:sz w:val="24"/>
                <w:szCs w:val="24"/>
                <w:lang w:val="ro-MD" w:eastAsia="ru-RU"/>
              </w:rPr>
            </w:pPr>
            <w:r w:rsidRPr="00D90C87">
              <w:rPr>
                <w:rFonts w:ascii="Times New Roman" w:eastAsia="Times New Roman" w:hAnsi="Times New Roman" w:cs="Times New Roman"/>
                <w:color w:val="000000"/>
                <w:sz w:val="24"/>
                <w:szCs w:val="24"/>
                <w:lang w:val="ro-MD" w:eastAsia="ru-RU"/>
              </w:rPr>
              <w:t>Nu este aplicabil</w:t>
            </w:r>
          </w:p>
        </w:tc>
      </w:tr>
      <w:tr w:rsidR="00645815" w:rsidRPr="00E544F6"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E914EF" w:rsidRDefault="00645815" w:rsidP="00D90C87">
            <w:pPr>
              <w:spacing w:after="0" w:line="240" w:lineRule="auto"/>
              <w:ind w:firstLine="284"/>
              <w:rPr>
                <w:rFonts w:ascii="Times New Roman" w:eastAsia="Times New Roman" w:hAnsi="Times New Roman" w:cs="Times New Roman"/>
                <w:color w:val="000000"/>
                <w:sz w:val="24"/>
                <w:szCs w:val="24"/>
                <w:lang w:val="ro-MD" w:eastAsia="ru-RU"/>
              </w:rPr>
            </w:pPr>
          </w:p>
        </w:tc>
      </w:tr>
      <w:tr w:rsidR="00645815" w:rsidRPr="00E544F6" w:rsidTr="00645815">
        <w:trPr>
          <w:trHeight w:val="252"/>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b/>
                <w:bCs/>
                <w:color w:val="000000"/>
                <w:sz w:val="24"/>
                <w:szCs w:val="24"/>
                <w:lang w:val="ro-MD" w:eastAsia="ru-RU"/>
              </w:rPr>
              <w:t>5. Compatibilitatea proiectului actului normativ cu legislaţia UE</w:t>
            </w:r>
          </w:p>
        </w:tc>
      </w:tr>
      <w:tr w:rsidR="00645815" w:rsidRPr="00E544F6" w:rsidTr="00645815">
        <w:trPr>
          <w:trHeight w:val="47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 xml:space="preserve">5.1. Măsuri normative necesare pentru transpunerea actelor juridice ale UE în </w:t>
            </w:r>
            <w:proofErr w:type="spellStart"/>
            <w:r w:rsidRPr="00E914EF">
              <w:rPr>
                <w:rFonts w:ascii="Times New Roman" w:eastAsia="Times New Roman" w:hAnsi="Times New Roman" w:cs="Times New Roman"/>
                <w:color w:val="000000"/>
                <w:sz w:val="24"/>
                <w:szCs w:val="24"/>
                <w:lang w:val="ro-MD" w:eastAsia="ru-RU"/>
              </w:rPr>
              <w:t>legislaţia</w:t>
            </w:r>
            <w:proofErr w:type="spellEnd"/>
            <w:r w:rsidRPr="00E914EF">
              <w:rPr>
                <w:rFonts w:ascii="Times New Roman" w:eastAsia="Times New Roman" w:hAnsi="Times New Roman" w:cs="Times New Roman"/>
                <w:color w:val="000000"/>
                <w:sz w:val="24"/>
                <w:szCs w:val="24"/>
                <w:lang w:val="ro-MD" w:eastAsia="ru-RU"/>
              </w:rPr>
              <w:t xml:space="preserve"> </w:t>
            </w:r>
            <w:proofErr w:type="spellStart"/>
            <w:r w:rsidRPr="00E914EF">
              <w:rPr>
                <w:rFonts w:ascii="Times New Roman" w:eastAsia="Times New Roman" w:hAnsi="Times New Roman" w:cs="Times New Roman"/>
                <w:color w:val="000000"/>
                <w:sz w:val="24"/>
                <w:szCs w:val="24"/>
                <w:lang w:val="ro-MD" w:eastAsia="ru-RU"/>
              </w:rPr>
              <w:t>naţională</w:t>
            </w:r>
            <w:proofErr w:type="spellEnd"/>
          </w:p>
          <w:p w:rsidR="009F24EB" w:rsidRPr="00E914EF" w:rsidRDefault="009F24EB" w:rsidP="00E914EF">
            <w:pPr>
              <w:spacing w:after="0" w:line="240" w:lineRule="auto"/>
              <w:ind w:firstLine="709"/>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 xml:space="preserve">Este transpus total doar că nu a fost indicat la clauza de armonizare a actului normativ în vigoare </w:t>
            </w:r>
            <w:r w:rsidRPr="009F24EB">
              <w:rPr>
                <w:rFonts w:ascii="Times New Roman" w:eastAsia="Times New Roman" w:hAnsi="Times New Roman" w:cs="Times New Roman"/>
                <w:color w:val="000000"/>
                <w:sz w:val="24"/>
                <w:szCs w:val="24"/>
                <w:lang w:val="ro-MD" w:eastAsia="ru-RU"/>
              </w:rPr>
              <w:t>CODEX STAN 131-1981 Standard privind normele codex pentru fisticul decojit CXS 131-1981 (amendat în 2022)</w:t>
            </w:r>
          </w:p>
        </w:tc>
      </w:tr>
      <w:tr w:rsidR="00645815" w:rsidRPr="00E544F6" w:rsidTr="00645815">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5.2. Măsuri normative care urmăresc crearea cadrului juridic intern necesar pentru implementarea legislaţiei UE</w:t>
            </w:r>
          </w:p>
        </w:tc>
      </w:tr>
      <w:tr w:rsidR="00645815" w:rsidRPr="00E544F6"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p>
        </w:tc>
      </w:tr>
      <w:tr w:rsidR="00645815" w:rsidRPr="00E544F6" w:rsidTr="00645815">
        <w:trPr>
          <w:trHeight w:val="252"/>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b/>
                <w:bCs/>
                <w:color w:val="000000"/>
                <w:sz w:val="24"/>
                <w:szCs w:val="24"/>
                <w:lang w:val="ro-MD" w:eastAsia="ru-RU"/>
              </w:rPr>
              <w:t>6. Avizarea şi consultarea publică a proiectului actului normativ</w:t>
            </w:r>
          </w:p>
        </w:tc>
      </w:tr>
      <w:tr w:rsidR="00645815" w:rsidRPr="00E544F6"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516DB3" w:rsidRPr="00516DB3" w:rsidRDefault="00516DB3" w:rsidP="00516DB3">
            <w:pPr>
              <w:spacing w:after="0" w:line="240" w:lineRule="auto"/>
              <w:ind w:firstLine="284"/>
              <w:jc w:val="both"/>
              <w:rPr>
                <w:rFonts w:ascii="Times New Roman" w:eastAsia="Calibri" w:hAnsi="Times New Roman" w:cs="Times New Roman"/>
                <w:sz w:val="24"/>
                <w:szCs w:val="24"/>
                <w:lang w:val="ro-RO"/>
              </w:rPr>
            </w:pPr>
            <w:r w:rsidRPr="00516DB3">
              <w:rPr>
                <w:rFonts w:ascii="Times New Roman" w:eastAsia="Calibri" w:hAnsi="Times New Roman" w:cs="Times New Roman"/>
                <w:sz w:val="24"/>
                <w:szCs w:val="24"/>
                <w:lang w:val="ro-RO"/>
              </w:rPr>
              <w:t>Întru asigurarea transparenței procesului decizional, conform prevederilor Legii nr. 239/2008 privind transparența în procesul decizional și Legii nr. 100/2017 cu privire la actele normative, a fost supus consultărilor publice prin:</w:t>
            </w:r>
          </w:p>
          <w:p w:rsidR="00645815" w:rsidRPr="00516DB3" w:rsidRDefault="00516DB3" w:rsidP="00516DB3">
            <w:pPr>
              <w:pStyle w:val="Listparagraf"/>
              <w:numPr>
                <w:ilvl w:val="0"/>
                <w:numId w:val="1"/>
              </w:numPr>
              <w:spacing w:after="0" w:line="240" w:lineRule="auto"/>
              <w:ind w:left="284" w:firstLine="284"/>
              <w:rPr>
                <w:rFonts w:ascii="Times New Roman" w:eastAsia="Times New Roman" w:hAnsi="Times New Roman" w:cs="Times New Roman"/>
                <w:color w:val="000000"/>
                <w:sz w:val="24"/>
                <w:szCs w:val="24"/>
                <w:lang w:val="ro-MD" w:eastAsia="ru-RU"/>
              </w:rPr>
            </w:pPr>
            <w:r w:rsidRPr="00516DB3">
              <w:rPr>
                <w:rFonts w:ascii="Times New Roman" w:eastAsia="Calibri" w:hAnsi="Times New Roman" w:cs="Times New Roman"/>
                <w:sz w:val="24"/>
                <w:szCs w:val="27"/>
                <w:lang w:val="ro-RO"/>
              </w:rPr>
              <w:t xml:space="preserve">plasarea </w:t>
            </w:r>
            <w:r>
              <w:rPr>
                <w:rFonts w:ascii="Times New Roman" w:eastAsia="Calibri" w:hAnsi="Times New Roman" w:cs="Times New Roman"/>
                <w:sz w:val="24"/>
                <w:szCs w:val="27"/>
                <w:lang w:val="ro-RO"/>
              </w:rPr>
              <w:t xml:space="preserve">proiectului de modificare și notei de fundamentare </w:t>
            </w:r>
            <w:r w:rsidRPr="00516DB3">
              <w:rPr>
                <w:rFonts w:ascii="Times New Roman" w:eastAsia="Calibri" w:hAnsi="Times New Roman" w:cs="Times New Roman"/>
                <w:sz w:val="24"/>
                <w:szCs w:val="27"/>
                <w:lang w:val="ro-RO"/>
              </w:rPr>
              <w:t>asupra proiectului pe particip.gov.md cu oferirea a 10 zile pentru prezentarea comentariilor de către părțile interesate</w:t>
            </w:r>
            <w:r>
              <w:rPr>
                <w:rFonts w:ascii="Times New Roman" w:eastAsia="Calibri" w:hAnsi="Times New Roman" w:cs="Times New Roman"/>
                <w:sz w:val="24"/>
                <w:szCs w:val="27"/>
                <w:lang w:val="ro-RO"/>
              </w:rPr>
              <w:t>:</w:t>
            </w:r>
          </w:p>
          <w:p w:rsidR="00516DB3" w:rsidRPr="00516DB3" w:rsidRDefault="00516DB3" w:rsidP="00516DB3">
            <w:pPr>
              <w:pStyle w:val="Listparagraf"/>
              <w:spacing w:after="0" w:line="240" w:lineRule="auto"/>
              <w:ind w:left="568"/>
              <w:rPr>
                <w:rFonts w:ascii="Times New Roman" w:eastAsia="Times New Roman" w:hAnsi="Times New Roman" w:cs="Times New Roman"/>
                <w:color w:val="000000"/>
                <w:sz w:val="24"/>
                <w:szCs w:val="24"/>
                <w:lang w:val="ro-MD" w:eastAsia="ru-RU"/>
              </w:rPr>
            </w:pPr>
          </w:p>
        </w:tc>
      </w:tr>
      <w:tr w:rsidR="00645815" w:rsidRPr="00E914EF"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b/>
                <w:bCs/>
                <w:color w:val="000000"/>
                <w:sz w:val="24"/>
                <w:szCs w:val="24"/>
                <w:lang w:val="ro-MD" w:eastAsia="ru-RU"/>
              </w:rPr>
              <w:t>7. Concluziile expertizelor</w:t>
            </w:r>
          </w:p>
        </w:tc>
      </w:tr>
      <w:tr w:rsidR="00645815" w:rsidRPr="00DE1FF5"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DE1FF5"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bookmarkStart w:id="0" w:name="_GoBack"/>
            <w:r w:rsidRPr="00DE1FF5">
              <w:rPr>
                <w:rFonts w:ascii="Times New Roman" w:eastAsia="Times New Roman" w:hAnsi="Times New Roman" w:cs="Times New Roman"/>
                <w:color w:val="000000"/>
                <w:sz w:val="24"/>
                <w:szCs w:val="24"/>
                <w:lang w:val="ro-MD" w:eastAsia="ru-RU"/>
              </w:rPr>
              <w:t> </w:t>
            </w:r>
            <w:r w:rsidR="00DE1FF5" w:rsidRPr="00DE1FF5">
              <w:rPr>
                <w:rFonts w:ascii="Times New Roman" w:eastAsia="Times New Roman" w:hAnsi="Times New Roman" w:cs="Times New Roman"/>
                <w:color w:val="000000"/>
                <w:sz w:val="24"/>
                <w:szCs w:val="24"/>
                <w:lang w:val="ro-MD" w:eastAsia="ru-RU"/>
              </w:rPr>
              <w:t>În temeiul art. 36 din Legea nr. 100/2017 cu privire la actele normative, proiectul urmează a fi supus expertizei anticorupție, care va fi efectuată de către Centrul Național Anticorupție.</w:t>
            </w:r>
          </w:p>
          <w:p w:rsidR="00DE1FF5" w:rsidRPr="00E914EF" w:rsidRDefault="00DE1FF5" w:rsidP="00E914EF">
            <w:pPr>
              <w:spacing w:after="0" w:line="240" w:lineRule="auto"/>
              <w:ind w:firstLine="709"/>
              <w:rPr>
                <w:rFonts w:ascii="Times New Roman" w:eastAsia="Times New Roman" w:hAnsi="Times New Roman" w:cs="Times New Roman"/>
                <w:color w:val="000000"/>
                <w:sz w:val="24"/>
                <w:szCs w:val="24"/>
                <w:lang w:val="ro-MD" w:eastAsia="ru-RU"/>
              </w:rPr>
            </w:pPr>
            <w:r w:rsidRPr="00DE1FF5">
              <w:rPr>
                <w:rFonts w:ascii="Times New Roman" w:eastAsia="Calibri" w:hAnsi="Times New Roman" w:cs="Times New Roman"/>
                <w:sz w:val="24"/>
                <w:szCs w:val="24"/>
                <w:lang w:val="ro-RO"/>
              </w:rPr>
              <w:t>Proiectul va fi supus expertizei de compatibilitate cu legislația Uniunii Eur</w:t>
            </w:r>
            <w:r w:rsidRPr="00DE1FF5">
              <w:rPr>
                <w:rFonts w:ascii="Times New Roman" w:eastAsia="Calibri" w:hAnsi="Times New Roman" w:cs="Times New Roman"/>
                <w:sz w:val="24"/>
                <w:szCs w:val="24"/>
                <w:lang w:val="ro-RO"/>
              </w:rPr>
              <w:t>opene în conformitate cu art. 35</w:t>
            </w:r>
            <w:r w:rsidRPr="00DE1FF5">
              <w:rPr>
                <w:rFonts w:ascii="Times New Roman" w:eastAsia="Calibri" w:hAnsi="Times New Roman" w:cs="Times New Roman"/>
                <w:sz w:val="24"/>
                <w:szCs w:val="24"/>
                <w:lang w:val="ro-RO"/>
              </w:rPr>
              <w:t xml:space="preserve"> din Legea 100/2017 cu privire la actele normative, fiind solicitată expertizei de compatibilitate de către Centrul de Armonizare a Legislației.</w:t>
            </w:r>
            <w:bookmarkEnd w:id="0"/>
          </w:p>
        </w:tc>
      </w:tr>
      <w:tr w:rsidR="00645815" w:rsidRPr="00E544F6"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b/>
                <w:bCs/>
                <w:color w:val="000000"/>
                <w:sz w:val="24"/>
                <w:szCs w:val="24"/>
                <w:lang w:val="ro-MD" w:eastAsia="ru-RU"/>
              </w:rPr>
              <w:t>8. Modul de încorporare a actului în cadrul normativ existent</w:t>
            </w:r>
          </w:p>
        </w:tc>
      </w:tr>
      <w:tr w:rsidR="00645815" w:rsidRPr="00E544F6"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E914EF" w:rsidRDefault="00CF30A6" w:rsidP="00E914EF">
            <w:pPr>
              <w:spacing w:after="0" w:line="240" w:lineRule="auto"/>
              <w:ind w:firstLine="709"/>
              <w:rPr>
                <w:rFonts w:ascii="Times New Roman" w:eastAsia="Times New Roman" w:hAnsi="Times New Roman" w:cs="Times New Roman"/>
                <w:color w:val="000000"/>
                <w:sz w:val="24"/>
                <w:szCs w:val="24"/>
                <w:lang w:val="ro-MD" w:eastAsia="ru-RU"/>
              </w:rPr>
            </w:pPr>
            <w:r w:rsidRPr="00CF30A6">
              <w:rPr>
                <w:rFonts w:ascii="Times New Roman" w:eastAsia="Times New Roman" w:hAnsi="Times New Roman" w:cs="Times New Roman"/>
                <w:color w:val="000000"/>
                <w:sz w:val="24"/>
                <w:szCs w:val="24"/>
                <w:lang w:val="ro-MD" w:eastAsia="ru-RU"/>
              </w:rPr>
              <w:t>Nu necesită modificarea altor acte.</w:t>
            </w:r>
          </w:p>
        </w:tc>
      </w:tr>
      <w:tr w:rsidR="00645815" w:rsidRPr="00E544F6" w:rsidTr="00645815">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b/>
                <w:bCs/>
                <w:color w:val="000000"/>
                <w:sz w:val="24"/>
                <w:szCs w:val="24"/>
                <w:lang w:val="ro-MD" w:eastAsia="ru-RU"/>
              </w:rPr>
              <w:t>9. Măsurile necesare pentru implementarea prevederilor proiectului actului normativ</w:t>
            </w:r>
          </w:p>
        </w:tc>
      </w:tr>
      <w:tr w:rsidR="00645815" w:rsidRPr="00E544F6"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B5369" w:rsidRPr="00BB5369" w:rsidRDefault="00BB5369" w:rsidP="00BB5369">
            <w:pPr>
              <w:tabs>
                <w:tab w:val="left" w:pos="9214"/>
                <w:tab w:val="left" w:pos="9420"/>
              </w:tabs>
              <w:spacing w:after="0" w:line="240" w:lineRule="auto"/>
              <w:ind w:firstLine="284"/>
              <w:contextualSpacing/>
              <w:jc w:val="both"/>
              <w:rPr>
                <w:rFonts w:ascii="Times New Roman" w:eastAsia="Times New Roman" w:hAnsi="Times New Roman" w:cs="Times New Roman"/>
                <w:color w:val="000000"/>
                <w:sz w:val="24"/>
                <w:szCs w:val="27"/>
                <w:lang w:val="ro-RO" w:eastAsia="ro-RO"/>
              </w:rPr>
            </w:pPr>
            <w:r w:rsidRPr="00BB5369">
              <w:rPr>
                <w:rFonts w:ascii="Times New Roman" w:eastAsia="Times New Roman" w:hAnsi="Times New Roman" w:cs="Times New Roman"/>
                <w:color w:val="000000"/>
                <w:sz w:val="24"/>
                <w:szCs w:val="27"/>
                <w:lang w:val="ro-RO" w:eastAsia="ro-RO"/>
              </w:rPr>
              <w:t>Implementarea proiectului va fi asigurată de Agenția Națională pentru Siguranța Alimentelor.</w:t>
            </w:r>
          </w:p>
          <w:p w:rsidR="00645815" w:rsidRPr="00E914EF" w:rsidRDefault="00BB5369" w:rsidP="00BB5369">
            <w:pPr>
              <w:spacing w:after="0" w:line="240" w:lineRule="auto"/>
              <w:ind w:firstLine="284"/>
              <w:contextualSpacing/>
              <w:rPr>
                <w:rFonts w:ascii="Times New Roman" w:eastAsia="Times New Roman" w:hAnsi="Times New Roman" w:cs="Times New Roman"/>
                <w:color w:val="000000"/>
                <w:sz w:val="24"/>
                <w:szCs w:val="24"/>
                <w:lang w:val="ro-MD" w:eastAsia="ru-RU"/>
              </w:rPr>
            </w:pPr>
            <w:r w:rsidRPr="00BB5369">
              <w:rPr>
                <w:rFonts w:ascii="Times New Roman" w:eastAsia="Times New Roman" w:hAnsi="Times New Roman" w:cs="Times New Roman"/>
                <w:color w:val="000000"/>
                <w:sz w:val="24"/>
                <w:szCs w:val="27"/>
                <w:lang w:val="ro-RO" w:eastAsia="ro-RO"/>
              </w:rPr>
              <w:t>Intervenția propusă nu necesită schimbări instituționale, precum și modificarea cadrului normativ existent</w:t>
            </w:r>
          </w:p>
        </w:tc>
      </w:tr>
      <w:tr w:rsidR="00645815" w:rsidRPr="00E544F6" w:rsidTr="00645815">
        <w:trPr>
          <w:trHeight w:val="237"/>
        </w:trPr>
        <w:tc>
          <w:tcPr>
            <w:tcW w:w="0" w:type="auto"/>
            <w:tcBorders>
              <w:top w:val="single" w:sz="6" w:space="0" w:color="000000"/>
              <w:left w:val="nil"/>
              <w:bottom w:val="nil"/>
              <w:right w:val="nil"/>
            </w:tcBorders>
            <w:shd w:val="clear" w:color="auto" w:fill="F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en-US" w:eastAsia="ru-RU"/>
              </w:rPr>
            </w:pPr>
            <w:r w:rsidRPr="00E914EF">
              <w:rPr>
                <w:rFonts w:ascii="Times New Roman" w:eastAsia="Times New Roman" w:hAnsi="Times New Roman" w:cs="Times New Roman"/>
                <w:color w:val="000000"/>
                <w:sz w:val="24"/>
                <w:szCs w:val="24"/>
                <w:lang w:val="en-US" w:eastAsia="ru-RU"/>
              </w:rPr>
              <w:t> </w:t>
            </w:r>
          </w:p>
        </w:tc>
      </w:tr>
    </w:tbl>
    <w:p w:rsidR="00645815" w:rsidRPr="00645815" w:rsidRDefault="00645815" w:rsidP="00CF30A6">
      <w:pPr>
        <w:rPr>
          <w:rFonts w:ascii="Times New Roman" w:hAnsi="Times New Roman" w:cs="Times New Roman"/>
          <w:sz w:val="24"/>
          <w:szCs w:val="24"/>
          <w:lang w:val="en-US"/>
        </w:rPr>
      </w:pPr>
    </w:p>
    <w:sectPr w:rsidR="00645815" w:rsidRPr="006458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F1033A"/>
    <w:multiLevelType w:val="hybridMultilevel"/>
    <w:tmpl w:val="534858EE"/>
    <w:lvl w:ilvl="0" w:tplc="DD56EBCA">
      <w:start w:val="1"/>
      <w:numFmt w:val="bullet"/>
      <w:lvlText w:val="-"/>
      <w:lvlJc w:val="left"/>
      <w:pPr>
        <w:ind w:left="644" w:hanging="360"/>
      </w:pPr>
      <w:rPr>
        <w:rFonts w:ascii="Times New Roman" w:eastAsia="Calibri" w:hAnsi="Times New Roman" w:cs="Times New Roman" w:hint="default"/>
        <w:color w:val="auto"/>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815"/>
    <w:rsid w:val="00075B44"/>
    <w:rsid w:val="00124F3E"/>
    <w:rsid w:val="00126ACF"/>
    <w:rsid w:val="00137A68"/>
    <w:rsid w:val="00161336"/>
    <w:rsid w:val="00271CDE"/>
    <w:rsid w:val="002F25B9"/>
    <w:rsid w:val="003B4C12"/>
    <w:rsid w:val="004611F1"/>
    <w:rsid w:val="00490BFC"/>
    <w:rsid w:val="00516DB3"/>
    <w:rsid w:val="00553136"/>
    <w:rsid w:val="00645815"/>
    <w:rsid w:val="0078593E"/>
    <w:rsid w:val="007932FE"/>
    <w:rsid w:val="00794BAB"/>
    <w:rsid w:val="007F2FFA"/>
    <w:rsid w:val="00800FE2"/>
    <w:rsid w:val="00897024"/>
    <w:rsid w:val="008C566B"/>
    <w:rsid w:val="008F1773"/>
    <w:rsid w:val="009F24EB"/>
    <w:rsid w:val="00A410F0"/>
    <w:rsid w:val="00B17F2F"/>
    <w:rsid w:val="00BB5369"/>
    <w:rsid w:val="00CF036A"/>
    <w:rsid w:val="00CF30A6"/>
    <w:rsid w:val="00D541E2"/>
    <w:rsid w:val="00D90C87"/>
    <w:rsid w:val="00DE1FF5"/>
    <w:rsid w:val="00E544F6"/>
    <w:rsid w:val="00E914EF"/>
    <w:rsid w:val="00EB6D8A"/>
    <w:rsid w:val="00F161DB"/>
    <w:rsid w:val="00F17012"/>
    <w:rsid w:val="00F576B9"/>
    <w:rsid w:val="00FF2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B5572-514D-4B1D-976F-D359C033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F2F"/>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n">
    <w:name w:val="cn"/>
    <w:basedOn w:val="Normal"/>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f">
    <w:name w:val="lf"/>
    <w:basedOn w:val="Normal"/>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Tabelgril">
    <w:name w:val="Table Grid"/>
    <w:basedOn w:val="TabelNormal"/>
    <w:uiPriority w:val="39"/>
    <w:rsid w:val="00124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516D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93804">
      <w:bodyDiv w:val="1"/>
      <w:marLeft w:val="0"/>
      <w:marRight w:val="0"/>
      <w:marTop w:val="0"/>
      <w:marBottom w:val="0"/>
      <w:divBdr>
        <w:top w:val="none" w:sz="0" w:space="0" w:color="auto"/>
        <w:left w:val="none" w:sz="0" w:space="0" w:color="auto"/>
        <w:bottom w:val="none" w:sz="0" w:space="0" w:color="auto"/>
        <w:right w:val="none" w:sz="0" w:space="0" w:color="auto"/>
      </w:divBdr>
    </w:div>
    <w:div w:id="1343121349">
      <w:bodyDiv w:val="1"/>
      <w:marLeft w:val="0"/>
      <w:marRight w:val="0"/>
      <w:marTop w:val="0"/>
      <w:marBottom w:val="0"/>
      <w:divBdr>
        <w:top w:val="none" w:sz="0" w:space="0" w:color="auto"/>
        <w:left w:val="none" w:sz="0" w:space="0" w:color="auto"/>
        <w:bottom w:val="none" w:sz="0" w:space="0" w:color="auto"/>
        <w:right w:val="none" w:sz="0" w:space="0" w:color="auto"/>
      </w:divBdr>
    </w:div>
    <w:div w:id="15247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3086</TotalTime>
  <Pages>3</Pages>
  <Words>1182</Words>
  <Characters>6861</Characters>
  <Application>Microsoft Office Word</Application>
  <DocSecurity>0</DocSecurity>
  <Lines>57</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Sanda MELENCIUC</cp:lastModifiedBy>
  <cp:revision>9</cp:revision>
  <dcterms:created xsi:type="dcterms:W3CDTF">2024-07-08T06:56:00Z</dcterms:created>
  <dcterms:modified xsi:type="dcterms:W3CDTF">2024-07-11T09:08:00Z</dcterms:modified>
</cp:coreProperties>
</file>