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AE1F" w14:textId="77777777" w:rsidR="000C40DF" w:rsidRPr="00AA0A7A" w:rsidRDefault="000C40DF" w:rsidP="000C40DF">
      <w:pPr>
        <w:pStyle w:val="Listparagraf"/>
        <w:tabs>
          <w:tab w:val="left" w:pos="99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7873FBB" w14:textId="6F56EB4A" w:rsidR="00016C9F" w:rsidRPr="00AA0A7A" w:rsidRDefault="00016C9F" w:rsidP="00CA2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38D1A2D" w14:textId="32F54C92" w:rsidR="00966A28" w:rsidRPr="00AA0A7A" w:rsidRDefault="00966A28" w:rsidP="00966A28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</w:pPr>
      <w:r w:rsidRPr="00AA0A7A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NOTA INFORMATIVĂ</w:t>
      </w:r>
    </w:p>
    <w:p w14:paraId="1761523B" w14:textId="3A6C9824" w:rsidR="00966A28" w:rsidRPr="00AA0A7A" w:rsidRDefault="00966A28" w:rsidP="00B1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AA0A7A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 xml:space="preserve">la proiectul legii pentru </w:t>
      </w:r>
      <w:r w:rsidR="000375F1" w:rsidRPr="00AA0A7A">
        <w:rPr>
          <w:rFonts w:ascii="Times New Roman" w:hAnsi="Times New Roman" w:cs="Times New Roman"/>
          <w:b/>
          <w:bCs/>
          <w:iCs/>
          <w:sz w:val="28"/>
          <w:szCs w:val="28"/>
          <w:lang w:val="ro-MD"/>
        </w:rPr>
        <w:t>modificarea Codului contravențional al Republicii Moldova nr.218/2008</w:t>
      </w:r>
    </w:p>
    <w:p w14:paraId="0B9C609A" w14:textId="77777777" w:rsidR="00966A28" w:rsidRPr="00AA0A7A" w:rsidRDefault="00966A28" w:rsidP="00966A28">
      <w:pPr>
        <w:tabs>
          <w:tab w:val="left" w:pos="884"/>
          <w:tab w:val="left" w:pos="11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0"/>
      </w:tblGrid>
      <w:tr w:rsidR="00966A28" w:rsidRPr="00547969" w14:paraId="7802C3C1" w14:textId="77777777" w:rsidTr="00AC4E57">
        <w:tc>
          <w:tcPr>
            <w:tcW w:w="5000" w:type="pct"/>
          </w:tcPr>
          <w:p w14:paraId="0932AC25" w14:textId="3FB7E655" w:rsidR="00966A28" w:rsidRPr="00AA0A7A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1. Denumirea autorului și, după caz, a participanților la elaborarea proiectului </w:t>
            </w:r>
          </w:p>
        </w:tc>
      </w:tr>
      <w:tr w:rsidR="00966A28" w:rsidRPr="00547969" w14:paraId="74C29D7B" w14:textId="77777777" w:rsidTr="00AC4E57">
        <w:tc>
          <w:tcPr>
            <w:tcW w:w="5000" w:type="pct"/>
          </w:tcPr>
          <w:p w14:paraId="1D1CCBC9" w14:textId="6C4F11BC" w:rsidR="00966A28" w:rsidRPr="00AA0A7A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legii pentru modificarea </w:t>
            </w:r>
            <w:r w:rsidR="000375F1" w:rsidRPr="00AA0A7A">
              <w:rPr>
                <w:rFonts w:ascii="Times New Roman" w:hAnsi="Times New Roman"/>
                <w:bCs/>
                <w:iCs/>
                <w:sz w:val="28"/>
                <w:szCs w:val="28"/>
                <w:lang w:val="ro-MD"/>
              </w:rPr>
              <w:t>Codului contravențional al Republicii Moldova nr.218/2008</w:t>
            </w:r>
            <w:r w:rsidRPr="00AA0A7A">
              <w:rPr>
                <w:rFonts w:ascii="Times New Roman" w:eastAsia="Times New Roman" w:hAnsi="Times New Roman"/>
                <w:sz w:val="28"/>
                <w:szCs w:val="28"/>
                <w:lang w:val="ro-MD" w:eastAsia="ru-RU"/>
              </w:rPr>
              <w:t xml:space="preserve">, </w:t>
            </w: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a fost elaborat de către Ministerul Afacerilor Interne</w:t>
            </w:r>
            <w:r w:rsidR="004E3A49" w:rsidRPr="00AA0A7A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966A28" w:rsidRPr="00547969" w14:paraId="1CC6BB3F" w14:textId="77777777" w:rsidTr="00AC4E57">
        <w:tc>
          <w:tcPr>
            <w:tcW w:w="5000" w:type="pct"/>
          </w:tcPr>
          <w:p w14:paraId="6920721D" w14:textId="0D0C1BCE" w:rsidR="00966A28" w:rsidRPr="00AA0A7A" w:rsidRDefault="00966A28" w:rsidP="00AC4E57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 Condițiile ce au impus elaborarea proiectului de act normativ și finalitățile urmărite</w:t>
            </w:r>
          </w:p>
        </w:tc>
      </w:tr>
      <w:tr w:rsidR="0095308B" w:rsidRPr="00547969" w14:paraId="5E3D2DC6" w14:textId="77777777" w:rsidTr="00AC4E57">
        <w:tc>
          <w:tcPr>
            <w:tcW w:w="5000" w:type="pct"/>
          </w:tcPr>
          <w:p w14:paraId="74970603" w14:textId="4C276E4C" w:rsidR="00CA2001" w:rsidRPr="00AA0A7A" w:rsidRDefault="0095308B" w:rsidP="00CA2001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       </w:t>
            </w:r>
            <w:bookmarkStart w:id="0" w:name="_Hlk164685541"/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Asigurarea ordinii și securității publice, inclusiv </w:t>
            </w:r>
            <w:r w:rsidR="000375F1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pe segmentul</w:t>
            </w: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faptel</w:t>
            </w:r>
            <w:r w:rsidR="000375F1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or</w:t>
            </w: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contravenționale, </w:t>
            </w:r>
            <w:r w:rsidR="000375F1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reprezintă</w:t>
            </w: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</w:t>
            </w:r>
            <w:r w:rsidR="000375F1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sarcina normativă primordială</w:t>
            </w: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a autorităților publice.</w:t>
            </w:r>
            <w:r w:rsidR="008A0E9A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Se va reține la caz că acest deziderat poate fi realizat prin atingerea scopului legii contravenționale care, constă de altfel în apărarea drepturilor și libertăților legitime ale persoanei, inclusiv în soluționarea justă a cauzelor contravenționale</w:t>
            </w:r>
            <w:r w:rsidR="00BD745E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prin individualizarea corectă a răspunderii contravenționale, precum</w:t>
            </w:r>
            <w:r w:rsidR="008A0E9A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și prevenirea de săvârșire a noilor contravenții.</w:t>
            </w:r>
          </w:p>
          <w:p w14:paraId="363CFA60" w14:textId="0FF907D8" w:rsidR="00CA2001" w:rsidRPr="00AA0A7A" w:rsidRDefault="00CA2001" w:rsidP="00CA2001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600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Prezentul proiect urmărește asigurarea aplicării corespunzătoare a legii contravenționale, făcând uz de principiul individualizării răspunderii contravenționale și sancțiunii contravenționale, în urma cărui fapt agentul constatator căruia i s-a atribuit prin lege aplicarea rigorilor normative, va ține cont de caracterul și de gradul prejudiciabil al contravenției, de persoana făptuitorului și de circumstanțele atenuante ori agravante, aplicând astfel o sancțiune contravențională proporțională urmărilor prejudiciabile survenite în urma faptei contravenționale săvârșite.</w:t>
            </w:r>
          </w:p>
          <w:p w14:paraId="0E899192" w14:textId="3F9F16A3" w:rsidR="0059011C" w:rsidRPr="00AA0A7A" w:rsidRDefault="00BD745E" w:rsidP="00BD745E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600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Suplimentar, î</w:t>
            </w:r>
            <w:r w:rsidR="00CA2001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mbinând caracterul coercitiv cu cel preventiv</w:t>
            </w:r>
            <w:r w:rsidR="00287DC0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al legii contravenționale, urmează să se asigure un echilibru eficient dintre elementele constitutive ale faptei contravenționale și consecințele acesteia aferente subiectului contravenției.</w:t>
            </w:r>
          </w:p>
          <w:p w14:paraId="75AF397C" w14:textId="17E7DE10" w:rsidR="0095308B" w:rsidRPr="00AA0A7A" w:rsidRDefault="0095308B" w:rsidP="00BD745E">
            <w:pPr>
              <w:pStyle w:val="Textnormal"/>
              <w:tabs>
                <w:tab w:val="left" w:pos="284"/>
                <w:tab w:val="left" w:pos="990"/>
              </w:tabs>
              <w:spacing w:before="0" w:after="0" w:line="240" w:lineRule="auto"/>
              <w:ind w:firstLine="175"/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       </w:t>
            </w:r>
            <w:r w:rsidR="00443C4A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Proiectul susține intenția </w:t>
            </w:r>
            <w:r w:rsidR="00287DC0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 xml:space="preserve">responsabilizării participanților la trafic, a căror acțiuni/inacțiuni </w:t>
            </w:r>
            <w:r w:rsidR="00D92F3B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ilicite generează urmări nesemnificative ordinii și securității publice, oferind posibilitatea aplicării alternative a unei sancțiuni cu caracter nepecuniar</w:t>
            </w:r>
            <w:bookmarkEnd w:id="0"/>
            <w:r w:rsidR="00D92F3B" w:rsidRPr="00AA0A7A">
              <w:rPr>
                <w:rFonts w:ascii="Times New Roman" w:hAnsi="Times New Roman"/>
                <w:sz w:val="28"/>
                <w:szCs w:val="28"/>
                <w:lang w:val="ro-MD" w:eastAsia="ar-SA" w:bidi="ar-SA"/>
              </w:rPr>
              <w:t>.</w:t>
            </w:r>
          </w:p>
        </w:tc>
      </w:tr>
      <w:tr w:rsidR="0095308B" w:rsidRPr="00547969" w14:paraId="446763D3" w14:textId="77777777" w:rsidTr="00AC4E57">
        <w:tc>
          <w:tcPr>
            <w:tcW w:w="5000" w:type="pct"/>
          </w:tcPr>
          <w:p w14:paraId="2A52C54A" w14:textId="249367E8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95308B" w:rsidRPr="00547969" w14:paraId="7C26F1C0" w14:textId="77777777" w:rsidTr="00AC4E57">
        <w:tc>
          <w:tcPr>
            <w:tcW w:w="5000" w:type="pct"/>
          </w:tcPr>
          <w:p w14:paraId="4D6D7B7B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Prezentul proiect nu presupune armonizarea legislației naționale la prevederile legislației Uniunii Europene. </w:t>
            </w:r>
          </w:p>
        </w:tc>
      </w:tr>
      <w:tr w:rsidR="0095308B" w:rsidRPr="00547969" w14:paraId="34F6F994" w14:textId="77777777" w:rsidTr="00AC4E57">
        <w:tc>
          <w:tcPr>
            <w:tcW w:w="5000" w:type="pct"/>
          </w:tcPr>
          <w:p w14:paraId="7D154B4E" w14:textId="4606005B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 Principalele prevederi ale proiectului și evidențierea elementelor noi</w:t>
            </w:r>
          </w:p>
        </w:tc>
      </w:tr>
      <w:tr w:rsidR="0095308B" w:rsidRPr="00547969" w14:paraId="074764E5" w14:textId="77777777" w:rsidTr="00AC4E57">
        <w:tc>
          <w:tcPr>
            <w:tcW w:w="5000" w:type="pct"/>
          </w:tcPr>
          <w:p w14:paraId="1D8BE0C5" w14:textId="60BC953D" w:rsidR="001A31DF" w:rsidRPr="00AA0A7A" w:rsidRDefault="00443C4A" w:rsidP="002F4CDA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1" w:name="_Hlk164685857"/>
            <w:r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 Prin proiectul legii cu privire la modificarea </w:t>
            </w:r>
            <w:r w:rsidR="00D92F3B" w:rsidRPr="00AA0A7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MD"/>
              </w:rPr>
              <w:t>Codului contravențional al Republicii Moldova nr.218/2008</w:t>
            </w:r>
            <w:r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se intenționează amendarea Codului contravențional</w:t>
            </w:r>
            <w:r w:rsidR="00D92F3B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prin înaintarea propunerilor de abrogare a art.26 lit.</w:t>
            </w:r>
            <w:r w:rsid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="00D92F3B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b)</w:t>
            </w:r>
            <w:r w:rsidR="00F8323F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și</w:t>
            </w:r>
            <w:r w:rsidR="00D92F3B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art.28</w:t>
            </w:r>
            <w:r w:rsidR="00F8323F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 și anume excluderea prevederilor referito</w:t>
            </w:r>
            <w:r w:rsidR="00FB1582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a</w:t>
            </w:r>
            <w:r w:rsidR="00F8323F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r</w:t>
            </w:r>
            <w:r w:rsidR="00FB1582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e</w:t>
            </w:r>
            <w:r w:rsidR="00F8323F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la </w:t>
            </w:r>
            <w:r w:rsidR="006E444C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înlăturarea răspunderii </w:t>
            </w:r>
            <w:r w:rsidR="006E444C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lastRenderedPageBreak/>
              <w:t xml:space="preserve">contravenționale în cazul comiterii unei </w:t>
            </w:r>
            <w:r w:rsidR="00DB39E2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contravenții</w:t>
            </w:r>
            <w:r w:rsidR="006545FC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neînsemnate sau al tentativei de </w:t>
            </w:r>
            <w:r w:rsidR="00DB39E2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contravenție</w:t>
            </w:r>
            <w:r w:rsidR="006545FC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neînsemnată</w:t>
            </w:r>
            <w:r w:rsidR="002F4CDA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091E8BEB" w14:textId="4AE1B815" w:rsidR="008F6D5E" w:rsidRPr="00AA0A7A" w:rsidRDefault="002F4CDA" w:rsidP="00AA0A7A">
            <w:pPr>
              <w:tabs>
                <w:tab w:val="left" w:pos="87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Concomitent,</w:t>
            </w:r>
            <w:r w:rsidR="00DC577D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proiectul </w:t>
            </w:r>
            <w:r w:rsidR="0032543B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propune </w:t>
            </w:r>
            <w:r w:rsidR="00D92F3B"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modificarea art.33 alin</w:t>
            </w:r>
            <w:r w:rsidR="00443C4A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D92F3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(3)</w:t>
            </w:r>
            <w:r w:rsidR="008F6D5E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90720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</w:t>
            </w:r>
            <w:r w:rsidR="00762767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revizuirea condițiilor de aplicare a avertismentului, și anume se consideră verosim</w:t>
            </w:r>
            <w:r w:rsidR="0062004C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il </w:t>
            </w:r>
            <w:r w:rsidR="00452B12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 agentul constatator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4F4F04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în mod obligatoriu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452B12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2D0640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</w:t>
            </w:r>
            <w:r w:rsidR="00C7018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2D0640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aplice </w:t>
            </w:r>
            <w:r w:rsidR="002D0640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avertismentul </w:t>
            </w:r>
            <w:r w:rsidR="00703621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096344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toate cazurile prevăzute de cod</w:t>
            </w:r>
            <w:r w:rsidR="00703621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 indicat supra</w:t>
            </w:r>
            <w:r w:rsidR="00096344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fără remiterea cauzei contravenționale în instanța de judecată, </w:t>
            </w:r>
            <w:r w:rsidR="00096344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dacă sunt întrunite cumulativ următoarele condiții: a) 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 xml:space="preserve">pe parcursul ultimului an 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înainte de comiterea faptei contravenționale</w:t>
            </w:r>
            <w:r w:rsidR="00AA0A7A" w:rsidRPr="00AA0A7A"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>, persoana nu fost sancționată pentru o contravenție similară;</w:t>
            </w:r>
            <w:r w:rsidR="00096344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b) persoana a executat sancțiunile contravenționale aplicate pentru faptele comise anterior.</w:t>
            </w:r>
          </w:p>
          <w:p w14:paraId="2BD8418E" w14:textId="19A5D82D" w:rsidR="0095308B" w:rsidRPr="00AA0A7A" w:rsidRDefault="00106F0A" w:rsidP="00381694">
            <w:pPr>
              <w:tabs>
                <w:tab w:val="left" w:pos="873"/>
              </w:tabs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Completarea </w:t>
            </w:r>
            <w:r w:rsidR="00D92F3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art.228 alin.(1), art.229 alin.(1) și (2), art.230 alin.(1), (2), (4) și (4</w:t>
            </w:r>
            <w:r w:rsidR="00D92F3B" w:rsidRPr="00AA0A7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MD"/>
              </w:rPr>
              <w:t>1</w:t>
            </w:r>
            <w:r w:rsidR="00D92F3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BD745E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66A0F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reprezintă o continuitatea a </w:t>
            </w:r>
            <w:r w:rsidR="00AD70AA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propunerilor de modificare expuse supra fapt pentru care </w:t>
            </w:r>
            <w:r w:rsidR="00670B66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se recomandă </w:t>
            </w:r>
            <w:r w:rsidR="00CE2740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amendarea legii contravenționale </w:t>
            </w:r>
            <w:r w:rsidR="00BD745E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sub aspectul </w:t>
            </w:r>
            <w:r w:rsidR="00FC38F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aplicării</w:t>
            </w:r>
            <w:r w:rsidR="007A3E16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contravenientului a sancțiunii contravenționale sub formă de avertisment</w:t>
            </w:r>
            <w:r w:rsidR="00D92F3B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14:paraId="5A0B8703" w14:textId="3CCFE8BD" w:rsidR="0095308B" w:rsidRPr="00AA0A7A" w:rsidRDefault="003167AF" w:rsidP="00853415">
            <w:pPr>
              <w:tabs>
                <w:tab w:val="left" w:pos="8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        </w:t>
            </w:r>
            <w:r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partea ce se referă la intrarea în vigoare</w:t>
            </w:r>
            <w:r w:rsidR="00BD745E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proiectului</w:t>
            </w:r>
            <w:r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BD745E" w:rsidRPr="00AA0A7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acesta urmează să producă efecte juridice de la data publicării în Monitorul Oficial al Republicii Moldova.</w:t>
            </w:r>
            <w:bookmarkEnd w:id="1"/>
          </w:p>
        </w:tc>
      </w:tr>
      <w:tr w:rsidR="0095308B" w:rsidRPr="00AA0A7A" w14:paraId="7EEADBD2" w14:textId="77777777" w:rsidTr="00AC4E57">
        <w:tc>
          <w:tcPr>
            <w:tcW w:w="5000" w:type="pct"/>
          </w:tcPr>
          <w:p w14:paraId="58F660C2" w14:textId="6F486B10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5. Fundamentarea economică-financiară</w:t>
            </w:r>
          </w:p>
        </w:tc>
      </w:tr>
      <w:tr w:rsidR="0095308B" w:rsidRPr="00547969" w14:paraId="056564EB" w14:textId="77777777" w:rsidTr="00AC4E57">
        <w:tc>
          <w:tcPr>
            <w:tcW w:w="5000" w:type="pct"/>
          </w:tcPr>
          <w:p w14:paraId="13001655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prevederilor proiectului nu necesită resurse financiare suplimentare de la bugetul de stat. </w:t>
            </w:r>
          </w:p>
        </w:tc>
      </w:tr>
      <w:tr w:rsidR="0095308B" w:rsidRPr="00547969" w14:paraId="4B2E4319" w14:textId="77777777" w:rsidTr="00AC4E57">
        <w:tc>
          <w:tcPr>
            <w:tcW w:w="5000" w:type="pct"/>
          </w:tcPr>
          <w:p w14:paraId="1DDD3B07" w14:textId="48403402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Modul de încorporare a actului în cadrul normativ în vigoare</w:t>
            </w:r>
          </w:p>
        </w:tc>
      </w:tr>
      <w:tr w:rsidR="0095308B" w:rsidRPr="00547969" w14:paraId="15400380" w14:textId="77777777" w:rsidTr="00AC4E57">
        <w:tc>
          <w:tcPr>
            <w:tcW w:w="5000" w:type="pct"/>
          </w:tcPr>
          <w:p w14:paraId="48D101D4" w14:textId="42E4493D" w:rsidR="0095308B" w:rsidRPr="00AA0A7A" w:rsidRDefault="00016C9F" w:rsidP="0095308B">
            <w:pPr>
              <w:pStyle w:val="Frspaiere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</w:t>
            </w:r>
            <w:r w:rsidR="0095308B" w:rsidRPr="00AA0A7A">
              <w:rPr>
                <w:rFonts w:ascii="Times New Roman" w:hAnsi="Times New Roman"/>
                <w:sz w:val="28"/>
                <w:szCs w:val="28"/>
                <w:lang w:val="ro-MD"/>
              </w:rPr>
              <w:t>Aprobarea prezentului proiect</w:t>
            </w:r>
            <w:r w:rsidR="00BD745E"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nu</w:t>
            </w:r>
            <w:r w:rsidR="0095308B" w:rsidRPr="00AA0A7A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va genera modificarea altor acte normative ale Guvernului. </w:t>
            </w:r>
          </w:p>
        </w:tc>
      </w:tr>
      <w:tr w:rsidR="0095308B" w:rsidRPr="00547969" w14:paraId="61752BAB" w14:textId="77777777" w:rsidTr="00AC4E57">
        <w:tc>
          <w:tcPr>
            <w:tcW w:w="5000" w:type="pct"/>
          </w:tcPr>
          <w:p w14:paraId="53D3050A" w14:textId="6217F97B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Avizarea și consultarea publică a proiectului</w:t>
            </w:r>
          </w:p>
        </w:tc>
      </w:tr>
      <w:tr w:rsidR="0095308B" w:rsidRPr="00547969" w14:paraId="4CDBD921" w14:textId="77777777" w:rsidTr="00AC4E57">
        <w:tc>
          <w:tcPr>
            <w:tcW w:w="5000" w:type="pct"/>
          </w:tcPr>
          <w:p w14:paraId="6719338F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În scopul respectării prevederilor Legii nr.239/2008 privind transparența în procesul decizional, proiectul va fi publicat pe pagina web oficială a Ministerului Afacerilor Interne (www.mai.gov.md), directoriul „Transparența”, secțiunea „Consultări publice” și pe platforma guvernamentală www.particip.gov.md. Anunț inițierea elaborării:___________________</w:t>
            </w:r>
          </w:p>
        </w:tc>
      </w:tr>
      <w:tr w:rsidR="0095308B" w:rsidRPr="00AA0A7A" w14:paraId="22C02064" w14:textId="77777777" w:rsidTr="00AC4E57">
        <w:tc>
          <w:tcPr>
            <w:tcW w:w="5000" w:type="pct"/>
          </w:tcPr>
          <w:p w14:paraId="29259B36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95308B" w:rsidRPr="00547969" w14:paraId="10EF8089" w14:textId="77777777" w:rsidTr="00AC4E57">
        <w:tc>
          <w:tcPr>
            <w:tcW w:w="5000" w:type="pct"/>
          </w:tcPr>
          <w:p w14:paraId="3FA75187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Proiectul va fi supus expertizei anticorupție la Centrul Național Anticorupție</w:t>
            </w:r>
          </w:p>
        </w:tc>
      </w:tr>
      <w:tr w:rsidR="0095308B" w:rsidRPr="00AA0A7A" w14:paraId="056FEF4B" w14:textId="77777777" w:rsidTr="00AC4E57">
        <w:tc>
          <w:tcPr>
            <w:tcW w:w="5000" w:type="pct"/>
          </w:tcPr>
          <w:p w14:paraId="4F22CF1A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95308B" w:rsidRPr="00547969" w14:paraId="37102191" w14:textId="77777777" w:rsidTr="00AC4E57">
        <w:tc>
          <w:tcPr>
            <w:tcW w:w="5000" w:type="pct"/>
          </w:tcPr>
          <w:p w14:paraId="323BB15E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Prezentul proiect nu presupune armonizarea legislației naționale la prevederile legislației Uniunii Europene.</w:t>
            </w:r>
          </w:p>
        </w:tc>
      </w:tr>
      <w:tr w:rsidR="0095308B" w:rsidRPr="00AA0A7A" w14:paraId="57B2D489" w14:textId="77777777" w:rsidTr="00AC4E57">
        <w:tc>
          <w:tcPr>
            <w:tcW w:w="5000" w:type="pct"/>
          </w:tcPr>
          <w:p w14:paraId="00E476EB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10. Constatările expertizei juridice</w:t>
            </w:r>
          </w:p>
        </w:tc>
      </w:tr>
      <w:tr w:rsidR="0095308B" w:rsidRPr="00547969" w14:paraId="794C06A8" w14:textId="77777777" w:rsidTr="00AC4E57">
        <w:tc>
          <w:tcPr>
            <w:tcW w:w="5000" w:type="pct"/>
          </w:tcPr>
          <w:p w14:paraId="02906A56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Proiectul urmează a fi expertizat de către Ministerul Justiției</w:t>
            </w:r>
          </w:p>
        </w:tc>
      </w:tr>
      <w:tr w:rsidR="0095308B" w:rsidRPr="00AA0A7A" w14:paraId="79D234B1" w14:textId="77777777" w:rsidTr="00AC4E57">
        <w:tc>
          <w:tcPr>
            <w:tcW w:w="5000" w:type="pct"/>
          </w:tcPr>
          <w:p w14:paraId="74A85BAF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95308B" w:rsidRPr="00AA0A7A" w14:paraId="796FA15D" w14:textId="77777777" w:rsidTr="00AC4E57">
        <w:tc>
          <w:tcPr>
            <w:tcW w:w="5000" w:type="pct"/>
          </w:tcPr>
          <w:p w14:paraId="103C6EB4" w14:textId="77777777" w:rsidR="0095308B" w:rsidRPr="00AA0A7A" w:rsidRDefault="0095308B" w:rsidP="0095308B">
            <w:pPr>
              <w:pStyle w:val="Frspaiere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AA0A7A">
              <w:rPr>
                <w:rFonts w:ascii="Times New Roman" w:hAnsi="Times New Roman"/>
                <w:sz w:val="28"/>
                <w:szCs w:val="28"/>
                <w:lang w:val="ro-MD"/>
              </w:rPr>
              <w:t>Nu sunt necesare.</w:t>
            </w:r>
          </w:p>
        </w:tc>
      </w:tr>
    </w:tbl>
    <w:p w14:paraId="4A8E72E8" w14:textId="77777777" w:rsidR="00966A28" w:rsidRPr="00AA0A7A" w:rsidRDefault="00966A28" w:rsidP="00966A28">
      <w:pPr>
        <w:tabs>
          <w:tab w:val="left" w:pos="884"/>
          <w:tab w:val="left" w:pos="1196"/>
        </w:tabs>
        <w:spacing w:after="0"/>
        <w:ind w:right="-94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F73A451" w14:textId="12B867AB" w:rsidR="00016C9F" w:rsidRPr="00AA0A7A" w:rsidRDefault="00016C9F" w:rsidP="00966A28">
      <w:pPr>
        <w:spacing w:after="0"/>
        <w:ind w:right="-143"/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4FA2559F" w14:textId="47F5797C" w:rsidR="00966A28" w:rsidRPr="00AA0A7A" w:rsidRDefault="00547969" w:rsidP="00966A28">
      <w:pPr>
        <w:spacing w:after="0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Secretar general adjunct al ministerului </w:t>
      </w:r>
      <w:r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  Vladislav COJUHARI</w:t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</w:r>
      <w:r w:rsidR="00966A28" w:rsidRPr="00AA0A7A">
        <w:rPr>
          <w:rStyle w:val="docsign1"/>
          <w:rFonts w:ascii="Times New Roman" w:hAnsi="Times New Roman" w:cs="Times New Roman"/>
          <w:b/>
          <w:bCs/>
          <w:sz w:val="28"/>
          <w:szCs w:val="28"/>
          <w:lang w:val="ro-MD"/>
        </w:rPr>
        <w:tab/>
        <w:t xml:space="preserve">        </w:t>
      </w:r>
    </w:p>
    <w:p w14:paraId="237F53CC" w14:textId="77777777" w:rsidR="000C40DF" w:rsidRPr="00AA0A7A" w:rsidRDefault="000C40DF" w:rsidP="000C40DF">
      <w:pPr>
        <w:pStyle w:val="Listparagraf"/>
        <w:tabs>
          <w:tab w:val="left" w:pos="99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1E6DA91" w14:textId="3DB63913" w:rsidR="000C40DF" w:rsidRPr="00AA0A7A" w:rsidRDefault="000C40DF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0C40DF" w:rsidRPr="00AA0A7A" w:rsidSect="00647DEB">
      <w:footerReference w:type="default" r:id="rId7"/>
      <w:pgSz w:w="11906" w:h="16838"/>
      <w:pgMar w:top="113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F64F9" w14:textId="77777777" w:rsidR="00595A68" w:rsidRDefault="00595A68">
      <w:pPr>
        <w:spacing w:after="0" w:line="240" w:lineRule="auto"/>
      </w:pPr>
      <w:r>
        <w:separator/>
      </w:r>
    </w:p>
  </w:endnote>
  <w:endnote w:type="continuationSeparator" w:id="0">
    <w:p w14:paraId="48E8871F" w14:textId="77777777" w:rsidR="00595A68" w:rsidRDefault="0059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6E966" w14:textId="15E5F8CA" w:rsidR="0041791E" w:rsidRPr="00647DEB" w:rsidRDefault="0041791E" w:rsidP="00647DEB">
    <w:pPr>
      <w:tabs>
        <w:tab w:val="center" w:pos="4677"/>
        <w:tab w:val="right" w:pos="9355"/>
      </w:tabs>
      <w:spacing w:after="0"/>
      <w:rPr>
        <w:rFonts w:asciiTheme="majorBidi" w:eastAsia="Times New Roman" w:hAnsiTheme="majorBidi" w:cstheme="majorBidi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F69FB" w14:textId="77777777" w:rsidR="00595A68" w:rsidRDefault="00595A68">
      <w:pPr>
        <w:spacing w:after="0" w:line="240" w:lineRule="auto"/>
      </w:pPr>
      <w:r>
        <w:separator/>
      </w:r>
    </w:p>
  </w:footnote>
  <w:footnote w:type="continuationSeparator" w:id="0">
    <w:p w14:paraId="644382D5" w14:textId="77777777" w:rsidR="00595A68" w:rsidRDefault="0059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2D2"/>
    <w:multiLevelType w:val="hybridMultilevel"/>
    <w:tmpl w:val="165064E0"/>
    <w:lvl w:ilvl="0" w:tplc="BF1083D4">
      <w:start w:val="1"/>
      <w:numFmt w:val="upperRoman"/>
      <w:pStyle w:val="Titlu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529D"/>
    <w:multiLevelType w:val="hybridMultilevel"/>
    <w:tmpl w:val="472605A6"/>
    <w:lvl w:ilvl="0" w:tplc="573AD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E772C"/>
    <w:multiLevelType w:val="hybridMultilevel"/>
    <w:tmpl w:val="4720E2CE"/>
    <w:lvl w:ilvl="0" w:tplc="173CE254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691D46DB"/>
    <w:multiLevelType w:val="hybridMultilevel"/>
    <w:tmpl w:val="D09C9D0E"/>
    <w:lvl w:ilvl="0" w:tplc="08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633A8"/>
    <w:multiLevelType w:val="hybridMultilevel"/>
    <w:tmpl w:val="F4168426"/>
    <w:lvl w:ilvl="0" w:tplc="1C56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1733192">
    <w:abstractNumId w:val="3"/>
  </w:num>
  <w:num w:numId="2" w16cid:durableId="553279864">
    <w:abstractNumId w:val="4"/>
  </w:num>
  <w:num w:numId="3" w16cid:durableId="2043898908">
    <w:abstractNumId w:val="0"/>
  </w:num>
  <w:num w:numId="4" w16cid:durableId="1497720607">
    <w:abstractNumId w:val="1"/>
  </w:num>
  <w:num w:numId="5" w16cid:durableId="133276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0A"/>
    <w:rsid w:val="000126C0"/>
    <w:rsid w:val="00016C9F"/>
    <w:rsid w:val="000375F1"/>
    <w:rsid w:val="00096344"/>
    <w:rsid w:val="000B0B73"/>
    <w:rsid w:val="000C40DF"/>
    <w:rsid w:val="000E30C6"/>
    <w:rsid w:val="001062F2"/>
    <w:rsid w:val="00106F0A"/>
    <w:rsid w:val="00147F26"/>
    <w:rsid w:val="00184CF4"/>
    <w:rsid w:val="001A0D6B"/>
    <w:rsid w:val="001A31DF"/>
    <w:rsid w:val="001B2735"/>
    <w:rsid w:val="001E1601"/>
    <w:rsid w:val="00202D53"/>
    <w:rsid w:val="002608D7"/>
    <w:rsid w:val="00271B91"/>
    <w:rsid w:val="00287DC0"/>
    <w:rsid w:val="002D0640"/>
    <w:rsid w:val="002F4CDA"/>
    <w:rsid w:val="003167AF"/>
    <w:rsid w:val="0032543B"/>
    <w:rsid w:val="003610A9"/>
    <w:rsid w:val="00381694"/>
    <w:rsid w:val="003B5A2B"/>
    <w:rsid w:val="0041791E"/>
    <w:rsid w:val="00443C4A"/>
    <w:rsid w:val="00452B12"/>
    <w:rsid w:val="004C1C9A"/>
    <w:rsid w:val="004E3A49"/>
    <w:rsid w:val="004F4F04"/>
    <w:rsid w:val="005149EB"/>
    <w:rsid w:val="005271F8"/>
    <w:rsid w:val="00547969"/>
    <w:rsid w:val="005608EB"/>
    <w:rsid w:val="00571253"/>
    <w:rsid w:val="0059011C"/>
    <w:rsid w:val="00595A68"/>
    <w:rsid w:val="005D3A09"/>
    <w:rsid w:val="005F1EE7"/>
    <w:rsid w:val="0062004C"/>
    <w:rsid w:val="00647DEB"/>
    <w:rsid w:val="006545FC"/>
    <w:rsid w:val="00670B66"/>
    <w:rsid w:val="006D7FC3"/>
    <w:rsid w:val="006E444C"/>
    <w:rsid w:val="006F19E0"/>
    <w:rsid w:val="00703621"/>
    <w:rsid w:val="00762767"/>
    <w:rsid w:val="00795C20"/>
    <w:rsid w:val="007A1DAE"/>
    <w:rsid w:val="007A3E16"/>
    <w:rsid w:val="00811FFE"/>
    <w:rsid w:val="008432AD"/>
    <w:rsid w:val="00853415"/>
    <w:rsid w:val="0086092A"/>
    <w:rsid w:val="00896601"/>
    <w:rsid w:val="008A0E9A"/>
    <w:rsid w:val="008F46DB"/>
    <w:rsid w:val="008F6D5E"/>
    <w:rsid w:val="008F74DB"/>
    <w:rsid w:val="0095308B"/>
    <w:rsid w:val="00966A0F"/>
    <w:rsid w:val="00966A28"/>
    <w:rsid w:val="00990720"/>
    <w:rsid w:val="00A02049"/>
    <w:rsid w:val="00A2403F"/>
    <w:rsid w:val="00A5241D"/>
    <w:rsid w:val="00A71E5D"/>
    <w:rsid w:val="00A82611"/>
    <w:rsid w:val="00AA0A7A"/>
    <w:rsid w:val="00AD70AA"/>
    <w:rsid w:val="00B1222C"/>
    <w:rsid w:val="00B35A84"/>
    <w:rsid w:val="00B35FDF"/>
    <w:rsid w:val="00B36420"/>
    <w:rsid w:val="00B86D12"/>
    <w:rsid w:val="00BD745E"/>
    <w:rsid w:val="00C21F2B"/>
    <w:rsid w:val="00C7018B"/>
    <w:rsid w:val="00CA2001"/>
    <w:rsid w:val="00CC4EF7"/>
    <w:rsid w:val="00CE2740"/>
    <w:rsid w:val="00D21ADA"/>
    <w:rsid w:val="00D82C92"/>
    <w:rsid w:val="00D92F3B"/>
    <w:rsid w:val="00DB39E2"/>
    <w:rsid w:val="00DC577D"/>
    <w:rsid w:val="00ED0395"/>
    <w:rsid w:val="00F5186E"/>
    <w:rsid w:val="00F5600A"/>
    <w:rsid w:val="00F8323F"/>
    <w:rsid w:val="00FB1582"/>
    <w:rsid w:val="00FC38FB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A3AA"/>
  <w15:chartTrackingRefBased/>
  <w15:docId w15:val="{DC57FFC5-467D-4CF8-928B-7EA5380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86D12"/>
    <w:pPr>
      <w:keepNext/>
      <w:keepLines/>
      <w:numPr>
        <w:numId w:val="3"/>
      </w:numPr>
      <w:spacing w:before="120" w:after="120" w:line="276" w:lineRule="auto"/>
      <w:jc w:val="center"/>
      <w:outlineLvl w:val="0"/>
    </w:pPr>
    <w:rPr>
      <w:rFonts w:ascii="Calibri" w:eastAsiaTheme="majorEastAsia" w:hAnsi="Calibri" w:cstheme="majorBidi"/>
      <w:color w:val="2F5496" w:themeColor="accent1" w:themeShade="BF"/>
      <w:kern w:val="0"/>
      <w:sz w:val="28"/>
      <w:szCs w:val="32"/>
      <w:lang w:val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608EB"/>
    <w:pPr>
      <w:tabs>
        <w:tab w:val="center" w:pos="4677"/>
        <w:tab w:val="right" w:pos="9355"/>
      </w:tabs>
      <w:spacing w:after="0" w:line="240" w:lineRule="auto"/>
    </w:pPr>
    <w:rPr>
      <w:kern w:val="0"/>
      <w:lang w:val="ru-RU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5608EB"/>
    <w:rPr>
      <w:kern w:val="0"/>
      <w:lang w:val="ru-RU"/>
      <w14:ligatures w14:val="none"/>
    </w:rPr>
  </w:style>
  <w:style w:type="paragraph" w:styleId="NormalWeb">
    <w:name w:val="Normal (Web)"/>
    <w:basedOn w:val="Normal"/>
    <w:uiPriority w:val="99"/>
    <w:unhideWhenUsed/>
    <w:rsid w:val="008F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Robust">
    <w:name w:val="Strong"/>
    <w:basedOn w:val="Fontdeparagrafimplicit"/>
    <w:uiPriority w:val="22"/>
    <w:qFormat/>
    <w:rsid w:val="008F74DB"/>
    <w:rPr>
      <w:b/>
      <w:bCs/>
    </w:rPr>
  </w:style>
  <w:style w:type="paragraph" w:customStyle="1" w:styleId="swift-in-viewport">
    <w:name w:val="swift-in-viewport"/>
    <w:basedOn w:val="Normal"/>
    <w:rsid w:val="0081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0C40DF"/>
    <w:rPr>
      <w:color w:val="0000FF"/>
      <w:u w:val="single"/>
    </w:rPr>
  </w:style>
  <w:style w:type="paragraph" w:styleId="Listparagraf">
    <w:name w:val="List Paragraph"/>
    <w:aliases w:val="List Paragraph (numbered (a)),Lapis Bulleted List,Dot pt,F5 List Paragraph,List Paragraph1,List Paragraph Char Char Char,Indicator Text,Numbered Para 1,Bullet 1,List Paragraph12,Bullet Points,MAIN CONTENT,List 100s,WB Para,Numerotare_lite"/>
    <w:basedOn w:val="Normal"/>
    <w:link w:val="ListparagrafCaracter"/>
    <w:uiPriority w:val="34"/>
    <w:qFormat/>
    <w:rsid w:val="000C40DF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paragraph" w:customStyle="1" w:styleId="tt">
    <w:name w:val="tt"/>
    <w:basedOn w:val="Normal"/>
    <w:rsid w:val="00966A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Frspaiere">
    <w:name w:val="No Spacing"/>
    <w:uiPriority w:val="1"/>
    <w:qFormat/>
    <w:rsid w:val="00966A2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docsign1">
    <w:name w:val="doc_sign1"/>
    <w:rsid w:val="00966A28"/>
  </w:style>
  <w:style w:type="paragraph" w:customStyle="1" w:styleId="Textnormal">
    <w:name w:val="Text_normal"/>
    <w:basedOn w:val="Normal"/>
    <w:link w:val="TextnormalChar"/>
    <w:qFormat/>
    <w:rsid w:val="0095308B"/>
    <w:pPr>
      <w:spacing w:before="60" w:after="60" w:line="276" w:lineRule="auto"/>
      <w:jc w:val="both"/>
    </w:pPr>
    <w:rPr>
      <w:rFonts w:ascii="Calibri" w:eastAsia="PMingLiU" w:hAnsi="Calibri" w:cs="Times New Roman"/>
      <w:kern w:val="0"/>
      <w:sz w:val="20"/>
      <w:szCs w:val="20"/>
      <w:lang w:val="en-US" w:bidi="en-US"/>
      <w14:ligatures w14:val="none"/>
    </w:rPr>
  </w:style>
  <w:style w:type="character" w:customStyle="1" w:styleId="TextnormalChar">
    <w:name w:val="Text_normal Char"/>
    <w:basedOn w:val="Fontdeparagrafimplicit"/>
    <w:link w:val="Textnormal"/>
    <w:rsid w:val="0095308B"/>
    <w:rPr>
      <w:rFonts w:ascii="Calibri" w:eastAsia="PMingLiU" w:hAnsi="Calibri" w:cs="Times New Roman"/>
      <w:kern w:val="0"/>
      <w:sz w:val="20"/>
      <w:szCs w:val="20"/>
      <w:lang w:val="en-US" w:bidi="en-US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B86D12"/>
    <w:rPr>
      <w:rFonts w:ascii="Calibri" w:eastAsiaTheme="majorEastAsia" w:hAnsi="Calibri" w:cstheme="majorBidi"/>
      <w:color w:val="2F5496" w:themeColor="accent1" w:themeShade="BF"/>
      <w:kern w:val="0"/>
      <w:sz w:val="28"/>
      <w:szCs w:val="32"/>
      <w:lang w:val="ru-RU"/>
      <w14:ligatures w14:val="none"/>
    </w:rPr>
  </w:style>
  <w:style w:type="character" w:customStyle="1" w:styleId="ListparagrafCaracter">
    <w:name w:val="Listă paragraf Caracter"/>
    <w:aliases w:val="List Paragraph (numbered (a)) Caracter,Lapis Bulleted List Caracter,Dot pt Caracter,F5 List Paragraph Caracter,List Paragraph1 Caracter,List Paragraph Char Char Char Caracter,Indicator Text Caracter,Numbered Para 1 Caracter"/>
    <w:basedOn w:val="Fontdeparagrafimplicit"/>
    <w:link w:val="Listparagraf"/>
    <w:uiPriority w:val="34"/>
    <w:qFormat/>
    <w:locked/>
    <w:rsid w:val="00B86D12"/>
    <w:rPr>
      <w:kern w:val="0"/>
      <w:lang w:val="ru-RU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64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760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turcanu</dc:creator>
  <cp:keywords/>
  <dc:description/>
  <cp:lastModifiedBy>Sergiu Sofroni</cp:lastModifiedBy>
  <cp:revision>88</cp:revision>
  <cp:lastPrinted>2024-06-05T04:45:00Z</cp:lastPrinted>
  <dcterms:created xsi:type="dcterms:W3CDTF">2024-06-04T08:23:00Z</dcterms:created>
  <dcterms:modified xsi:type="dcterms:W3CDTF">2024-06-07T12:44:00Z</dcterms:modified>
</cp:coreProperties>
</file>