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514F" w14:textId="1BA2FC43" w:rsidR="00FB02BE" w:rsidRPr="0085614D" w:rsidRDefault="00FB02BE" w:rsidP="009C18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85614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NOTĂ INFORMATIVĂ</w:t>
      </w:r>
    </w:p>
    <w:p w14:paraId="70A2F32B" w14:textId="77777777" w:rsidR="00BE4C29" w:rsidRDefault="00FB02BE" w:rsidP="00BE4C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85614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la proiectul </w:t>
      </w:r>
      <w:r w:rsidR="00C51FD0" w:rsidRPr="0085614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hotărârii</w:t>
      </w:r>
      <w:r w:rsidR="00B176C7" w:rsidRPr="0085614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Guvernului</w:t>
      </w:r>
      <w:r w:rsidR="00C51FD0" w:rsidRPr="0085614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="00BE4C29" w:rsidRPr="00BE4C2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modificarea</w:t>
      </w:r>
    </w:p>
    <w:p w14:paraId="547E1E39" w14:textId="77777777" w:rsidR="00BE4C29" w:rsidRDefault="00BE4C29" w:rsidP="00BE4C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BE4C2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Hotărârii Guvernului nr. 357/2009 cu privire la aprobarea </w:t>
      </w:r>
    </w:p>
    <w:p w14:paraId="158A2C21" w14:textId="1CB93119" w:rsidR="00C51FD0" w:rsidRDefault="00BE4C29" w:rsidP="00BE4C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BE4C2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Regulamentului circulației rutiere</w:t>
      </w:r>
      <w:r w:rsidR="0038755C" w:rsidRPr="0038755C">
        <w:rPr>
          <w:lang w:val="en-US"/>
        </w:rPr>
        <w:t xml:space="preserve"> </w:t>
      </w:r>
      <w:r w:rsidR="0038755C" w:rsidRPr="0038755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(exploatarea vehiculelor cu volanul amplasat pe partea dreaptă)</w:t>
      </w:r>
    </w:p>
    <w:p w14:paraId="5157C7A0" w14:textId="77777777" w:rsidR="00E97CAF" w:rsidRPr="0085614D" w:rsidRDefault="00E97CAF" w:rsidP="00BE4C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tbl>
      <w:tblPr>
        <w:tblW w:w="493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7"/>
      </w:tblGrid>
      <w:tr w:rsidR="0085614D" w:rsidRPr="004F4C34" w14:paraId="44766838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D36A" w14:textId="691F8B39" w:rsidR="00FB02BE" w:rsidRPr="0085614D" w:rsidRDefault="00FB02BE" w:rsidP="009C18A7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Denumirea autorului </w:t>
            </w:r>
            <w:r w:rsidR="001E33AA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ș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i, după caz, a </w:t>
            </w:r>
            <w:r w:rsidR="00E06CC9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participanților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85614D" w:rsidRPr="004F4C34" w14:paraId="5A6925A5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69A" w14:textId="6ECA8803" w:rsidR="00FB02BE" w:rsidRPr="0085614D" w:rsidRDefault="00FB02BE" w:rsidP="00BE4C29">
            <w:pPr>
              <w:tabs>
                <w:tab w:val="left" w:pos="740"/>
              </w:tabs>
              <w:spacing w:after="0" w:line="240" w:lineRule="auto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Proiectul </w:t>
            </w:r>
            <w:r w:rsidR="00C51FD0" w:rsidRPr="008561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hotărârii</w:t>
            </w:r>
            <w:r w:rsidR="00B176C7" w:rsidRPr="008561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Guvernului</w:t>
            </w:r>
            <w:r w:rsidR="00C51FD0" w:rsidRPr="008561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pentru</w:t>
            </w:r>
            <w:r w:rsidR="00BE4C29" w:rsidRPr="00BE4C2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modificarea Hotărârii Guvernului nr. 357/2009 cu privire la aprobarea Regulamentului circulației rutiere</w:t>
            </w:r>
            <w:r w:rsidR="00BE4C2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38755C" w:rsidRPr="0038755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(exploatarea vehiculelor cu volanul amplasat pe partea dreaptă) </w:t>
            </w:r>
            <w:r w:rsidR="00C51FD0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a fost </w:t>
            </w:r>
            <w:r w:rsidR="001821A3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elaborat de Ministerul Afacerilor Interne</w:t>
            </w:r>
            <w:r w:rsidR="00F636BD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.</w:t>
            </w:r>
            <w:r w:rsidR="001821A3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</w:tc>
      </w:tr>
      <w:tr w:rsidR="0085614D" w:rsidRPr="004F4C34" w14:paraId="456AE858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1186" w14:textId="77777777" w:rsidR="00FB02BE" w:rsidRPr="0085614D" w:rsidRDefault="00FB02BE" w:rsidP="009C18A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2. </w:t>
            </w:r>
            <w:r w:rsidR="00E06CC9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Condițiile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ce au impus elaborarea proiectului de act normativ </w:t>
            </w:r>
            <w:r w:rsidR="00E06CC9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și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E06CC9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finalitățile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85614D" w:rsidRPr="004F4C34" w14:paraId="5DEF0E9F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3C7" w14:textId="337DD759" w:rsidR="00BE4C29" w:rsidRDefault="009B37BB" w:rsidP="00BE4C29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9B3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Pr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in Legea nr.</w:t>
            </w:r>
            <w:r w:rsidR="00E564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37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/2024</w:t>
            </w:r>
            <w:r w:rsidR="00FD5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pentru modificarea unor acte normative au fost modificate prevederile art. 37 alin. (4) din Legea nr. 131/2007 privind siguranța traficul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ui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rutier, care prevede că, v</w:t>
            </w:r>
            <w:r w:rsidR="00BE4C29"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ehiculele care au volanul amplasat pe partea dre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aptă</w:t>
            </w:r>
            <w:r w:rsidR="00BE4C29"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nu </w:t>
            </w:r>
            <w:r w:rsidR="00BE4C29"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pot circula pe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BE4C29"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drumurile publice ale Republicii Moldova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dacă nu </w:t>
            </w:r>
            <w:r w:rsidR="00BE4C29"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îndeplinesc condițiile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BE4C29"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tehnice prevăzute 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î</w:t>
            </w:r>
            <w:r w:rsidR="00BE4C29"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n Regulamentul circulației rutiere</w:t>
            </w:r>
            <w:r w:rsid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, cu excepția vehiculelor aflate în traficul internațional.</w:t>
            </w:r>
          </w:p>
          <w:p w14:paraId="41D6E3E0" w14:textId="72320A40" w:rsidR="00BE4C29" w:rsidRDefault="00BE4C29" w:rsidP="009B37BB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Astfel,  prin proiectul de hotărâre se urmărește ajustarea Regulamentului circulației rutiere în vederea stabilirii condițiilor</w:t>
            </w:r>
            <w:r w:rsidR="00564F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tehnice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, care urmează a fi îndeplinite de către vehicule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le</w:t>
            </w:r>
            <w:r w:rsidRPr="00BE4C29">
              <w:rPr>
                <w:lang w:val="en-US"/>
              </w:rPr>
              <w:t xml:space="preserve"> 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care au volanul amplasat pe partea dreaptă</w:t>
            </w:r>
            <w:r w:rsidR="00564F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a axei longitudinale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pentru a fi admise 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în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circula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ție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pe drumurile publice al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e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Republicii Moldova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, 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cu excepția vehiculelor aflate în traficul internațional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.</w:t>
            </w:r>
          </w:p>
          <w:p w14:paraId="5E8E3BF9" w14:textId="375B685B" w:rsidR="00BE4C29" w:rsidRPr="00BE4C29" w:rsidRDefault="00BE4C29" w:rsidP="00BE4C29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În acest sens, la nivel european, dreptul de circulație și înmatriculare a vehiculelor cu volanul amplasat pe partea dreaptă a axei longitudinale de deplasare este reglementat de Directivele Consiliului Europei 2007/46, 70/311 și 70/156. Potrivit 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rticolului 4, alineatul (3) din Directiva Consiliului Europei 2007/46: „Statele membre înmatriculează sau permit vânzarea sau punerea în exploatare numai a acelor vehicule, componente și unități tehnice separate care respectă cerințele prezentei directive. Statele membre nu interzic, limitează sau împiedică înmatricularea, vânzarea, punerea în exploatare sau circulația pe drumuri a vehiculelor, a componentelor sau a unităților tehnice separate din motive legate de aspecte privind construcția sau funcționarea lor reglementate de prezenta directivă, dacă acestea respectă cerințele prezentei directive.”</w:t>
            </w:r>
          </w:p>
          <w:p w14:paraId="75325B2B" w14:textId="24C9339C" w:rsidR="00BE4C29" w:rsidRDefault="00BE4C29" w:rsidP="00BE4C29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De asemenea, 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rticolul 2a din Directiva 70/311, adăugat la aceasta prin Actul privind condițiile de aderare la Comunitățile Europene a Danemarcei, a Irlandei și a Regatului Unit al Marii Britanii și Irlandei de Nord și adaptările tratatelor (JO 1972, L 73, p. 14), prevede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că s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tatele membre nu pot să refuze sau să interzică vânzarea, înmatricularea, introducerea în circulație sau folosirea vehiculelor din motive legate de mecanismele de direcție, dacă acestea respectă specificațiile din anexă.</w:t>
            </w:r>
          </w:p>
          <w:p w14:paraId="6A1437E6" w14:textId="03B06EAA" w:rsidR="00BE4C29" w:rsidRDefault="00BE4C29" w:rsidP="009B37BB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lastRenderedPageBreak/>
              <w:t>Dreptul la libera circulație este protejat și de articolul 2 din Protocolul nr. 4 la Convenția Europeană a Drepturilor Omului. Curtea Europeană a subliniat că articolul 2 din Protocolul nr. 4 la Convenție îi garantează oricărei persoane dreptul la libera circulație într-un anumit teritoriu și dreptul de a părăsi acest teritoriu, fapt care implică și dreptul de a călători într-o țară la alegerea sa, în care i s-ar permite intrarea.</w:t>
            </w:r>
          </w:p>
          <w:p w14:paraId="1716810A" w14:textId="6D117E47" w:rsidR="00BE4C29" w:rsidRPr="00BE4C29" w:rsidRDefault="00BE4C29" w:rsidP="00BE4C29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Drept exemplu 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al 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practicii atestate în statele Uniunii Europene, se permite circulația autovehiculelor cu volanul pe partea dreaptă cu condiția că pentru a putea circula pe drumurile publice, sunt necesare unele modificări tehnice, cum ar fi adaptarea farurilor.</w:t>
            </w:r>
          </w:p>
          <w:p w14:paraId="55610924" w14:textId="53265B15" w:rsidR="00BE4C29" w:rsidRPr="00BE4C29" w:rsidRDefault="00BE4C29" w:rsidP="00BE4C29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Astfel, în Republica Croația, Legea privind siguranța rutieră prevede că pentru a fi admis în circulație, un vehicul trebuie să fie în stare tehnică corespunzătoare. Prin urmare, direcția de poziționare a volanului nu are importanță. </w:t>
            </w:r>
          </w:p>
          <w:p w14:paraId="4319D5DA" w14:textId="0181270C" w:rsidR="00BE4C29" w:rsidRDefault="00BE4C29" w:rsidP="00BE4C29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În Germania este permisă circulația mașinilor cu volanul pe partea dreaptă cu condiția că pentru a putea circula pe drumurile publice, în cazul vehiculelor cu volanul pe dreapta, sunt necesare unele modificări tehnice, cum ar fi adaptarea farurilor în așa fel încât să lumineze jumătatea stângă a benzii mai mult decât cea dreaptă, ceea ce este exact invers pentru traficul pe dreapta. Această geometrie luminoasă se mai numește și adaptare asimetrică de 30 ° și trebuie respectată. Lipsa ajustărilor tehnice respective, în timpul circulației pe timp de noapte ar putea pune în pericol siguranța rutieră.</w:t>
            </w:r>
          </w:p>
          <w:p w14:paraId="6529D341" w14:textId="77777777" w:rsidR="002B3AF3" w:rsidRPr="002B3AF3" w:rsidRDefault="002B3AF3" w:rsidP="002B3AF3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În Spania nu există nicio interdicție de circulație a mașinilor cu volanul pe dreapta. Acestea pot obține și o plăcuță de înmatriculare, cu condiția respectării unor cerințe, precum oglinda retrovizoare dublă și corectarea direcției fasciculului luminilor. </w:t>
            </w:r>
          </w:p>
          <w:p w14:paraId="3A03494A" w14:textId="109A6472" w:rsidR="00BE4C29" w:rsidRDefault="002B3AF3" w:rsidP="002B3AF3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În Suedia nu există nicio interdicție de folosire a vehiculelor cu volan pe dreapta. Prin urmare, un astfel de vehicul, conceput pentru a conduce pe dreapta, nu reprezintă un obstacol. În mod obișnuit, vehiculele cu volanul pe dreapta sunt proiectate pentru a fi conduse pe partea stângă a carosabilului și, prin urmare, trebuie să respecte cerințele de iluminare, dar și de montare a oglinzilor retrovizoare pentru a mări câmpul vizual.</w:t>
            </w:r>
          </w:p>
          <w:p w14:paraId="4361642E" w14:textId="4B43B119" w:rsidR="002B3AF3" w:rsidRDefault="002B3AF3" w:rsidP="002B3AF3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Prin urmare,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prin proiectul de hotărâre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, vor fi specificate condițiile</w:t>
            </w:r>
            <w:r w:rsidR="00A40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tehnice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pentru circulația pe drumurile publice ale Republicii Moldova a vehiculelor care au volanul amplasat pe partea dreaptă,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prin 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echipa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rea acestora 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cu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:</w:t>
            </w:r>
          </w:p>
          <w:p w14:paraId="4547A30B" w14:textId="4A34F83D" w:rsidR="002B3AF3" w:rsidRPr="002B3AF3" w:rsidRDefault="002B3AF3" w:rsidP="002B3AF3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a)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oglinzi speciale, </w:t>
            </w:r>
            <w:proofErr w:type="spellStart"/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periscopice</w:t>
            </w:r>
            <w:proofErr w:type="spellEnd"/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, care asigură o vizibilitate mai bună în partea stângă;</w:t>
            </w:r>
          </w:p>
          <w:p w14:paraId="56952CC6" w14:textId="4D322D65" w:rsidR="002B3AF3" w:rsidRDefault="002B3AF3" w:rsidP="002B3AF3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b)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convertori pentru faruri, care să redirecționeze lumina farurilor pentru circulația pe partea dreaptă a părții carosabile în sensul de mers, cu excepția vehiculelor care permit adaptarea manuală și/sau automată a modului de direcționare a farurilor.</w:t>
            </w:r>
          </w:p>
          <w:p w14:paraId="391E9DF0" w14:textId="07814AA1" w:rsidR="002B3AF3" w:rsidRDefault="002B3AF3" w:rsidP="00BE4C29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În asemenea circumstanțe stabilirea cerințelor de echipare sau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adaptare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a farurilor vehiculelor cu volanul amplasat pe partea dreaptă, vor 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permite evitarea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cazurilor de orbire a conducătorilor auto ce se deplasează în întâmpinare din sens 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lastRenderedPageBreak/>
              <w:t>opus, pe timp de noapte sau în condiții de vizibilitate redusă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, precum și asigurarea conducătorului vehiculului la efectuarea manevrelor de depășire a altor participanți la trafic și mărirea câmpului vizual pe partea stângă.</w:t>
            </w:r>
          </w:p>
          <w:p w14:paraId="4BB44605" w14:textId="0618A64F" w:rsidR="004F36F1" w:rsidRPr="009B37BB" w:rsidRDefault="002B3AF3" w:rsidP="002B3AF3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Stabilirea cadrului normativ național în corespundere cu cadrul de reglementare european va asigura dreptul cetățenilor de a circula sau folosi vehicule pe drumurile publice din Republica Moldova, cu excluderea restricțiilor în ceea ce privește motivele legate de mecanismele de direcție a vehiculelor.</w:t>
            </w:r>
            <w:r w:rsidR="00E97874" w:rsidRPr="009B3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</w:tc>
      </w:tr>
      <w:tr w:rsidR="0085614D" w:rsidRPr="004F4C34" w14:paraId="1D150F9D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DDAD" w14:textId="26EBAF5F" w:rsidR="00FB02BE" w:rsidRPr="0085614D" w:rsidRDefault="00FB02BE" w:rsidP="009C18A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lastRenderedPageBreak/>
              <w:t>3. Descrierea gradului de compatibilitate pentru proiectele care au ca scop</w:t>
            </w:r>
            <w:r w:rsidR="00C51FD0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armonizarea legisla</w:t>
            </w:r>
            <w:r w:rsidR="001E33AA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ț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iei na</w:t>
            </w:r>
            <w:r w:rsidR="001E33AA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ț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ionale cu legisla</w:t>
            </w:r>
            <w:r w:rsidR="001E33AA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ț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ia Uniunii Europene</w:t>
            </w:r>
          </w:p>
        </w:tc>
      </w:tr>
      <w:tr w:rsidR="0085614D" w:rsidRPr="004F4C34" w14:paraId="6DFC642B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4BD" w14:textId="36F9E26B" w:rsidR="00877C54" w:rsidRPr="0085614D" w:rsidRDefault="00FB02BE" w:rsidP="00877C54">
            <w:pPr>
              <w:tabs>
                <w:tab w:val="left" w:pos="884"/>
                <w:tab w:val="left" w:pos="1196"/>
              </w:tabs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Prezentul proiect nu are ca scop armonizarea legisla</w:t>
            </w:r>
            <w:r w:rsidR="001E33AA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ț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iei na</w:t>
            </w:r>
            <w:r w:rsidR="001E33AA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ț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ionale cu legisla</w:t>
            </w:r>
            <w:r w:rsidR="001E33AA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ț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ia Uniunii Europene.</w:t>
            </w:r>
          </w:p>
        </w:tc>
      </w:tr>
      <w:tr w:rsidR="0085614D" w:rsidRPr="004F4C34" w14:paraId="1F351618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B9D7" w14:textId="30CD6238" w:rsidR="00FB02BE" w:rsidRPr="0085614D" w:rsidRDefault="00FB02BE" w:rsidP="009C18A7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4. Principalele prevederi ale proiectului </w:t>
            </w:r>
            <w:r w:rsidR="001E33AA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ș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 eviden</w:t>
            </w:r>
            <w:r w:rsidR="001E33AA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ț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ierea elementelor noi</w:t>
            </w:r>
          </w:p>
        </w:tc>
      </w:tr>
      <w:tr w:rsidR="0085614D" w:rsidRPr="004F4C34" w14:paraId="4B24AD12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ECD" w14:textId="609D650A" w:rsidR="00301883" w:rsidRPr="009B37BB" w:rsidRDefault="00301883" w:rsidP="002B3AF3">
            <w:pPr>
              <w:spacing w:after="0" w:line="240" w:lineRule="auto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9B3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Proiectul hotărârii </w:t>
            </w:r>
            <w:r w:rsidRPr="009B37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Guvernului </w:t>
            </w:r>
            <w:r w:rsidR="002B3AF3" w:rsidRPr="002B3A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pentru modificarea Hotărârii Guvernului nr. 357/2009 cu privire la aprobarea Regulamentului circulației rutiere</w:t>
            </w:r>
            <w:r w:rsidR="0038755C" w:rsidRPr="0038755C">
              <w:rPr>
                <w:lang w:val="en-US"/>
              </w:rPr>
              <w:t xml:space="preserve"> </w:t>
            </w:r>
            <w:r w:rsidR="0038755C" w:rsidRPr="0038755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(exploatarea vehiculelor cu volanul amplasat pe partea dreaptă)</w:t>
            </w:r>
            <w:r w:rsidR="002B3AF3" w:rsidRPr="002B3A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9B37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vizează:</w:t>
            </w:r>
          </w:p>
          <w:p w14:paraId="596B886D" w14:textId="0DCE9ED6" w:rsidR="002B3AF3" w:rsidRPr="002B3AF3" w:rsidRDefault="002B3AF3" w:rsidP="002B3AF3">
            <w:pPr>
              <w:pStyle w:val="a3"/>
              <w:numPr>
                <w:ilvl w:val="0"/>
                <w:numId w:val="6"/>
              </w:numPr>
              <w:tabs>
                <w:tab w:val="left" w:pos="884"/>
                <w:tab w:val="left" w:pos="1196"/>
              </w:tabs>
              <w:spacing w:after="0" w:line="240" w:lineRule="auto"/>
              <w:ind w:left="33" w:firstLine="69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M</w:t>
            </w:r>
            <w:r w:rsidR="00301883"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odificarea 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punctului 2 din Regulamentul circulației rutiere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,</w:t>
            </w:r>
            <w:r w:rsidR="005218C0" w:rsidRPr="005218C0">
              <w:rPr>
                <w:lang w:val="en-US"/>
              </w:rPr>
              <w:t xml:space="preserve"> </w:t>
            </w:r>
            <w:r w:rsidR="005218C0" w:rsidRP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aprobat prin Hotărârea Guvernului nr. 357/2009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care va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interzice circulația pe drumurile publice a vehiculelor care au volanul amplasat pe partea dreaptă a axei longitudinale, dacă nu corespund condițiilor</w:t>
            </w:r>
            <w:r w:rsidR="00A40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tehnice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prevăzute la punctul 104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din Regulament, </w:t>
            </w:r>
            <w:r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cu excepția vehiculelor aflate în traficul internațional.</w:t>
            </w:r>
          </w:p>
          <w:p w14:paraId="0E79525F" w14:textId="34F9DCBC" w:rsidR="00301883" w:rsidRPr="009B37BB" w:rsidRDefault="00116A03" w:rsidP="00301883">
            <w:pPr>
              <w:tabs>
                <w:tab w:val="left" w:pos="884"/>
                <w:tab w:val="left" w:pos="1196"/>
              </w:tabs>
              <w:spacing w:after="0" w:line="240" w:lineRule="auto"/>
              <w:ind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Necesitatea ajustării</w:t>
            </w:r>
            <w:r w:rsidR="00301883" w:rsidRPr="009B37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p</w:t>
            </w:r>
            <w:r w:rsidR="002B3A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unctul</w:t>
            </w:r>
            <w:r w:rsidR="005218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ui</w:t>
            </w:r>
            <w:r w:rsidR="002B3A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2 din </w:t>
            </w:r>
            <w:r w:rsidR="002B3AF3" w:rsidRPr="002B3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Regulamentul circulației rutiere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,</w:t>
            </w:r>
            <w:r w:rsidR="002B3AF3" w:rsidRPr="009B37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care interzice circulația pe drumurile publice a vehiculelor care au volanul amplasat pe partea dreaptă, cu excepția celor aflate în traficul internațional, derivă  </w:t>
            </w:r>
            <w:r w:rsidR="005218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din reglementările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="008146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modificate ale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art.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37 alin. (4) din Legea nr. 131/2007 privind siguranța traficul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ui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rutier, </w:t>
            </w:r>
            <w:r w:rsid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care prev</w:t>
            </w:r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ăd</w:t>
            </w:r>
            <w:r w:rsid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că,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v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ehiculele care au volanul amplasat pe partea dre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aptă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pot circula pe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drumurile publice ale Republicii Moldova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numai dacă 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îndeplinesc condițiile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tehnice prevăzute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î</w:t>
            </w:r>
            <w:r w:rsidRPr="00BE4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n Regulamentul circulației rutiere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. </w:t>
            </w:r>
          </w:p>
          <w:p w14:paraId="7E436AEE" w14:textId="5890BE25" w:rsidR="00116A03" w:rsidRPr="00814699" w:rsidRDefault="00814699" w:rsidP="00814699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1014"/>
                <w:tab w:val="left" w:pos="1167"/>
              </w:tabs>
              <w:spacing w:after="0" w:line="240" w:lineRule="auto"/>
              <w:ind w:left="0" w:firstLine="73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8146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Al doilea amendament implică modificarea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prevederilor punctului 104 din Regulamentul circulației rutiere, care va stabili condițiile tehnice, </w:t>
            </w:r>
            <w:r w:rsidRPr="008146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care urmează a fi îndeplinite de către vehicule</w:t>
            </w:r>
            <w:r w:rsidR="005218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le</w:t>
            </w:r>
            <w:r w:rsidRPr="008146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care au volanul amplasat pe partea dreaptă pentru a fi admise </w:t>
            </w:r>
            <w:r w:rsidR="005218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în</w:t>
            </w:r>
            <w:r w:rsidRPr="008146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circulație pe drumurile publice al</w:t>
            </w:r>
            <w:r w:rsidR="005218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e</w:t>
            </w:r>
            <w:r w:rsidRPr="0081469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Republicii Moldova, cu excepția vehiculelor aflate în traficul internațional.</w:t>
            </w:r>
          </w:p>
          <w:p w14:paraId="3DB751C0" w14:textId="6A46D7DA" w:rsidR="00814699" w:rsidRPr="00814699" w:rsidRDefault="00814699" w:rsidP="00814699">
            <w:pPr>
              <w:tabs>
                <w:tab w:val="left" w:pos="0"/>
                <w:tab w:val="left" w:pos="1014"/>
              </w:tabs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Astfel, vehiculele care au volanul amplasat pe partea dreaptă</w:t>
            </w:r>
            <w:r w:rsidR="00A400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a axei longitudinale, pentru admiterea în circulație pe drumurile publice va fi necesar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să </w:t>
            </w:r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îndepline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</w:t>
            </w:r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sc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ă</w:t>
            </w:r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cumulativ următoarele condiții tehnice:</w:t>
            </w:r>
          </w:p>
          <w:p w14:paraId="3CC81AFA" w14:textId="78667EFE" w:rsidR="00814699" w:rsidRPr="00814699" w:rsidRDefault="00814699" w:rsidP="00814699">
            <w:pPr>
              <w:tabs>
                <w:tab w:val="left" w:pos="0"/>
                <w:tab w:val="left" w:pos="1014"/>
              </w:tabs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a)</w:t>
            </w:r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ab/>
              <w:t>echipa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rea</w:t>
            </w:r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cu oglinzi speciale, </w:t>
            </w:r>
            <w:proofErr w:type="spellStart"/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periscopice</w:t>
            </w:r>
            <w:proofErr w:type="spellEnd"/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, care asigură o vizibilitate mai bună în partea stângă;</w:t>
            </w:r>
          </w:p>
          <w:p w14:paraId="34069E82" w14:textId="66768831" w:rsidR="00116A03" w:rsidRDefault="00814699" w:rsidP="00814699">
            <w:pPr>
              <w:tabs>
                <w:tab w:val="left" w:pos="0"/>
                <w:tab w:val="left" w:pos="1014"/>
              </w:tabs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b)</w:t>
            </w:r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ab/>
              <w:t>echipa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rea</w:t>
            </w:r>
            <w:r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cu convertori pentru faruri, care să redirecționeze lumina farurilor pentru circulația pe partea dreaptă a părții carosabile în sensul de mers, cu excepția vehiculelor care permit adaptarea manuală și/sau automată a modului de direcționare a farurilor.”.</w:t>
            </w:r>
          </w:p>
          <w:p w14:paraId="63FBBA3D" w14:textId="1DEBF58A" w:rsidR="00CC5B83" w:rsidRPr="0085614D" w:rsidRDefault="00CF4BE8" w:rsidP="00CC5B83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Subsidiar</w:t>
            </w:r>
            <w:r w:rsidR="000C61A6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, în conformitate cu art. 56 alin. (3) din Legea nr. 100/2017 cu privire la actele normative, se propune </w:t>
            </w:r>
            <w:r w:rsidR="00BC7982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ca proiectul actului normativ să </w:t>
            </w:r>
            <w:r w:rsidR="000C61A6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intr</w:t>
            </w:r>
            <w:r w:rsidR="00BC7982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e</w:t>
            </w:r>
            <w:r w:rsidR="000C61A6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în vigoare </w:t>
            </w:r>
            <w:r w:rsidR="0085614D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la data publicării acestuia </w:t>
            </w:r>
            <w:r w:rsidR="000C61A6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în Monitorul Oficial al Republicii Moldova, în </w:t>
            </w:r>
            <w:r w:rsidR="000C61A6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lastRenderedPageBreak/>
              <w:t>legătură cu necesitatea</w:t>
            </w:r>
            <w:r w:rsidR="00BC7982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eliminării contradicțiilor între actele normative și s</w:t>
            </w:r>
            <w:r w:rsidR="00814699"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tabilirea cadrului normativ național în corespundere cu cadrul de reglementare european,</w:t>
            </w:r>
            <w:r w:rsid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care </w:t>
            </w:r>
            <w:r w:rsidR="00814699" w:rsidRP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va asigura dreptul cetățenilor de a circula sau folosi vehicule pe drumurile publice din Republica Moldova</w:t>
            </w:r>
            <w:r w:rsid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.</w:t>
            </w:r>
          </w:p>
        </w:tc>
      </w:tr>
      <w:tr w:rsidR="0085614D" w:rsidRPr="0085614D" w14:paraId="66921A73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6F7E" w14:textId="77777777" w:rsidR="00FB02BE" w:rsidRPr="0085614D" w:rsidRDefault="00FB02BE" w:rsidP="009C18A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lastRenderedPageBreak/>
              <w:t xml:space="preserve">5. Fundamentarea </w:t>
            </w:r>
            <w:proofErr w:type="spellStart"/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economico</w:t>
            </w:r>
            <w:proofErr w:type="spellEnd"/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-financiară</w:t>
            </w:r>
          </w:p>
        </w:tc>
      </w:tr>
      <w:tr w:rsidR="0085614D" w:rsidRPr="004F4C34" w14:paraId="3AE449DE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9A47" w14:textId="77777777" w:rsidR="00FB02BE" w:rsidRPr="0085614D" w:rsidRDefault="00FB02BE" w:rsidP="0085614D">
            <w:pPr>
              <w:tabs>
                <w:tab w:val="left" w:pos="884"/>
                <w:tab w:val="left" w:pos="1196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Implementarea amendamentelor propuse </w:t>
            </w:r>
            <w:r w:rsidR="00F13A5C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în proiect nu necesită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alocarea mijloacelor financiare suplimentare</w:t>
            </w:r>
            <w:r w:rsidR="00F13A5C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. </w:t>
            </w:r>
          </w:p>
        </w:tc>
      </w:tr>
      <w:tr w:rsidR="0085614D" w:rsidRPr="004F4C34" w14:paraId="12D8542E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ACB4" w14:textId="77777777" w:rsidR="00FB02BE" w:rsidRPr="0085614D" w:rsidRDefault="00FB02BE" w:rsidP="009C18A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85614D" w:rsidRPr="004F4C34" w14:paraId="06559DFC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393" w14:textId="3F481F96" w:rsidR="00FB02BE" w:rsidRPr="0085614D" w:rsidRDefault="00A9034F" w:rsidP="0085614D">
            <w:pPr>
              <w:tabs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Prevederile propuse în proiect nu necesită modificarea altor acte normative și se încadrează perfect în cadrul normativ actual.</w:t>
            </w:r>
          </w:p>
        </w:tc>
      </w:tr>
      <w:tr w:rsidR="0085614D" w:rsidRPr="004F4C34" w14:paraId="4D254138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8D23" w14:textId="2706327E" w:rsidR="00FB02BE" w:rsidRPr="0085614D" w:rsidRDefault="00FB02BE" w:rsidP="009C18A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7. Avizarea </w:t>
            </w:r>
            <w:r w:rsidR="001E33AA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ș</w:t>
            </w: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 consultarea publică a proiectului</w:t>
            </w:r>
          </w:p>
        </w:tc>
      </w:tr>
      <w:tr w:rsidR="0085614D" w:rsidRPr="004F4C34" w14:paraId="2C533F34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E0D" w14:textId="6AE24D43" w:rsidR="007A341C" w:rsidRPr="0085614D" w:rsidRDefault="007A341C" w:rsidP="009C18A7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În scopul respectării prevederilor Legii nr. 239/2008 privind transparența în procesul decizional </w:t>
            </w:r>
            <w:proofErr w:type="spellStart"/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şi</w:t>
            </w:r>
            <w:proofErr w:type="spellEnd"/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Regulamentului cu privire la procedurile de consultare publică cu societatea civilă în procesul decizional, aprobat prin Hotărârea Guvernului nr. 967/2016, proiectul urmează a fi plasat pe pagina web oficială a Ministerului Afacerilor Interne (https: //www.mai.gov.md), la compartimentul „Transparența”, rubrica „Consultări publice”, precum și pe platforma guvernamentală https: //particip.gov.md.</w:t>
            </w:r>
          </w:p>
          <w:p w14:paraId="6E09DEA6" w14:textId="15EE3142" w:rsidR="0014204F" w:rsidRDefault="0014204F" w:rsidP="009C18A7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La </w:t>
            </w:r>
            <w:r w:rsidR="00814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2</w:t>
            </w:r>
            <w:r w:rsidR="00387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9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.02.2024, anunțul privind elaborarea proiectului hotărârii </w:t>
            </w:r>
            <w:r w:rsidR="0038755C" w:rsidRPr="00387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Guvernului pentru modificarea Hotărârii Guvernului nr. 357/2009 cu privire la aprobarea Regulamentului circulației rutiere (exploatarea vehiculelor cu volanul amplasat pe partea dreaptă) 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 fost plasat pe pagina web oficială a Ministerului Afacerilor Interne (https: //www.mai.gov.md), la compartimentul „Transparența”, rubrica „Consultări publice/Inițierea elaborării actelor normative” și pe platforma guvernamentală www. particip.gov.md, fiind expusă argumentarea necesității de a aproba acest act normativ și termenul-limită, locul și modalitatea în care părțile interesate pot prezenta sau expedia recomandări.</w:t>
            </w:r>
          </w:p>
          <w:p w14:paraId="7F97B719" w14:textId="447F9A07" w:rsidR="005218C0" w:rsidRPr="0085614D" w:rsidRDefault="00000000" w:rsidP="009C18A7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hyperlink r:id="rId8" w:history="1">
              <w:r w:rsidR="005218C0" w:rsidRPr="00071B9A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ro-RO"/>
                </w:rPr>
                <w:t>https://particip.gov.md/ro/document/stages/proiectul-hotararii-de-guvern-pentru-modificarea-hotararii-guvernului-nr-3572009-cu-privire-la-aprobarea-regulamentului-circulatiei-rutiereexploatarea-vehiculelor-cu-volanul-amplasat-pe-partea-dreapta/12126</w:t>
              </w:r>
            </w:hyperlink>
            <w:r w:rsidR="00521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14:paraId="2943E274" w14:textId="63B3AF39" w:rsidR="00FB02BE" w:rsidRPr="0085614D" w:rsidRDefault="007A341C" w:rsidP="009C18A7">
            <w:pPr>
              <w:spacing w:after="0" w:line="240" w:lineRule="auto"/>
              <w:ind w:firstLine="73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În conformitate cu prevederile Legii nr.</w:t>
            </w:r>
            <w:r w:rsidR="0085614D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100/2017 cu privire la actele normative, proiectul actului normativ urmează a fi supus consultărilor publice și remis spre avizare/expertizare către</w:t>
            </w:r>
            <w:r w:rsidRPr="0085614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o-RO"/>
              </w:rPr>
              <w:t>, Ministerul Justiției</w:t>
            </w:r>
            <w:r w:rsidR="00222EBD" w:rsidRPr="0085614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o-RO"/>
              </w:rPr>
              <w:t>,</w:t>
            </w:r>
            <w:r w:rsidRPr="0085614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38755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o-RO"/>
              </w:rPr>
              <w:t>Ministerul Infrastructurii și Dezvoltării Regionale</w:t>
            </w:r>
            <w:r w:rsidR="0071203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o-RO"/>
              </w:rPr>
              <w:t>, Ministerul Afacerilor Externe</w:t>
            </w:r>
            <w:r w:rsidR="0038755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o-RO"/>
              </w:rPr>
              <w:t xml:space="preserve"> și </w:t>
            </w:r>
            <w:r w:rsidRPr="0085614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o-RO"/>
              </w:rPr>
              <w:t>Centrul Național Anticorupție</w:t>
            </w:r>
            <w:r w:rsidR="0038755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ro-RO"/>
              </w:rPr>
              <w:t>.</w:t>
            </w:r>
          </w:p>
        </w:tc>
      </w:tr>
      <w:tr w:rsidR="0085614D" w:rsidRPr="0085614D" w14:paraId="43649F30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772C" w14:textId="77777777" w:rsidR="00FB02BE" w:rsidRPr="0085614D" w:rsidRDefault="00FB02BE" w:rsidP="009C18A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8. Constatările expertizei anticorupție</w:t>
            </w:r>
          </w:p>
        </w:tc>
      </w:tr>
      <w:tr w:rsidR="0085614D" w:rsidRPr="004F4C34" w14:paraId="3DD5BD71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3DE" w14:textId="46407A29" w:rsidR="00FB02BE" w:rsidRPr="0085614D" w:rsidRDefault="007A341C" w:rsidP="009C18A7">
            <w:pPr>
              <w:tabs>
                <w:tab w:val="left" w:pos="884"/>
                <w:tab w:val="left" w:pos="1196"/>
              </w:tabs>
              <w:spacing w:after="0" w:line="240" w:lineRule="auto"/>
              <w:ind w:firstLine="738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Proiectul se va transmite pentru efectuarea expertizei anticorupție, conform art.</w:t>
            </w:r>
            <w:r w:rsidR="004663F0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35 din Legea nr.</w:t>
            </w:r>
            <w:r w:rsidR="0085614D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100/2017 </w:t>
            </w:r>
            <w:r w:rsidRPr="008561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o-RO"/>
              </w:rPr>
              <w:t>cu privire la actele normative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.</w:t>
            </w:r>
          </w:p>
        </w:tc>
      </w:tr>
      <w:tr w:rsidR="0085614D" w:rsidRPr="0085614D" w14:paraId="3C952ECE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6ED1" w14:textId="777A3017" w:rsidR="00FB02BE" w:rsidRPr="0085614D" w:rsidRDefault="00FB02BE" w:rsidP="009C18A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9. </w:t>
            </w:r>
            <w:r w:rsidR="007A341C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85614D" w:rsidRPr="004F4C34" w14:paraId="79F1BCBD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75F" w14:textId="0CA2E065" w:rsidR="00FB02BE" w:rsidRPr="0085614D" w:rsidRDefault="007A341C" w:rsidP="009C18A7">
            <w:pPr>
              <w:tabs>
                <w:tab w:val="left" w:pos="884"/>
                <w:tab w:val="left" w:pos="1196"/>
              </w:tabs>
              <w:spacing w:after="0" w:line="240" w:lineRule="auto"/>
              <w:ind w:firstLine="738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Proiectul se va transmite pentru efectuarea expertizei juridice, conform </w:t>
            </w:r>
            <w:r w:rsidR="0085614D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  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art. 37 din Legea nr.</w:t>
            </w:r>
            <w:r w:rsidR="0085614D"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8561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100/2017 cu privire la actele normative.</w:t>
            </w:r>
          </w:p>
        </w:tc>
      </w:tr>
      <w:tr w:rsidR="0085614D" w:rsidRPr="0085614D" w14:paraId="127D1E12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87B6" w14:textId="253D3234" w:rsidR="00FB02BE" w:rsidRPr="0085614D" w:rsidRDefault="00FB02BE" w:rsidP="009C18A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10. Constatările expertizei</w:t>
            </w:r>
            <w:r w:rsidR="007A341C" w:rsidRPr="008561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de compatibilitate</w:t>
            </w:r>
          </w:p>
        </w:tc>
      </w:tr>
      <w:tr w:rsidR="0085614D" w:rsidRPr="004F4C34" w14:paraId="014E030C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0EB" w14:textId="5F872B00" w:rsidR="00FB02BE" w:rsidRPr="0085614D" w:rsidRDefault="009E65CB" w:rsidP="009C18A7">
            <w:pPr>
              <w:tabs>
                <w:tab w:val="left" w:pos="884"/>
                <w:tab w:val="left" w:pos="1196"/>
              </w:tabs>
              <w:spacing w:after="0" w:line="240" w:lineRule="auto"/>
              <w:ind w:firstLine="738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ro-RO" w:eastAsia="ru-RU"/>
              </w:rPr>
              <w:lastRenderedPageBreak/>
              <w:t>În conformitate cu Legea nr.</w:t>
            </w:r>
            <w:r w:rsidR="0085614D" w:rsidRPr="0085614D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85614D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ro-RO" w:eastAsia="ru-RU"/>
              </w:rPr>
              <w:t>100/2017 cu privire la actele normative, proiectul nominalizat nu necesită a fi supus expertizei de compatibilitate.</w:t>
            </w:r>
          </w:p>
        </w:tc>
      </w:tr>
      <w:tr w:rsidR="0085614D" w:rsidRPr="0085614D" w14:paraId="71DC4040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9783" w14:textId="77777777" w:rsidR="00FB02BE" w:rsidRPr="0085614D" w:rsidRDefault="00FB02BE" w:rsidP="009C18A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o-RO" w:eastAsia="ru-RU"/>
              </w:rPr>
              <w:t>11. Constatările altor expertize</w:t>
            </w:r>
          </w:p>
        </w:tc>
      </w:tr>
      <w:tr w:rsidR="0085614D" w:rsidRPr="004F4C34" w14:paraId="0A046BCB" w14:textId="77777777" w:rsidTr="007A34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D6B" w14:textId="2AFF6250" w:rsidR="00FB02BE" w:rsidRPr="0085614D" w:rsidRDefault="007A341C" w:rsidP="004663F0">
            <w:pPr>
              <w:tabs>
                <w:tab w:val="left" w:pos="884"/>
                <w:tab w:val="left" w:pos="1196"/>
              </w:tabs>
              <w:spacing w:after="0" w:line="240" w:lineRule="auto"/>
              <w:ind w:firstLine="738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ro-RO" w:eastAsia="ru-RU"/>
              </w:rPr>
            </w:pPr>
            <w:r w:rsidRPr="00856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ro-RO" w:eastAsia="ru-RU"/>
              </w:rPr>
              <w:t>Proiectul nu conține prevederi de reglementare a activității de întreprinzător</w:t>
            </w:r>
            <w:r w:rsidR="004663F0" w:rsidRPr="00856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ro-RO" w:eastAsia="ru-RU"/>
              </w:rPr>
              <w:t>,</w:t>
            </w:r>
            <w:r w:rsidRPr="00856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ro-RO" w:eastAsia="ru-RU"/>
              </w:rPr>
              <w:t xml:space="preserve"> în sensul Legii nr.235/2006 cu privire la principiile de bază de reglementare a activității de întreprinzător.</w:t>
            </w:r>
            <w:r w:rsidR="004663F0" w:rsidRPr="00856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856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ro-RO" w:eastAsia="ru-RU"/>
              </w:rPr>
              <w:t>Respectiv, nu este necesară examinarea acestuia de către Grupul de lucru pentru reglementarea activității de întreprinzător.</w:t>
            </w:r>
            <w:r w:rsidR="004663F0" w:rsidRPr="00856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856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ro-RO" w:eastAsia="ru-RU"/>
              </w:rPr>
              <w:t>De asemenea, proiectul nu cade sub incidența altor expertize necesare de a fi efectuate în condițiile Legii nr.</w:t>
            </w:r>
            <w:r w:rsidR="004663F0" w:rsidRPr="00856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85614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ro-RO" w:eastAsia="ru-RU"/>
              </w:rPr>
              <w:t>100/2017 cu privire la actele normative.</w:t>
            </w:r>
          </w:p>
        </w:tc>
      </w:tr>
    </w:tbl>
    <w:p w14:paraId="66A80DE1" w14:textId="77777777" w:rsidR="008D2714" w:rsidRPr="0085614D" w:rsidRDefault="008D2714" w:rsidP="009C18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57295C04" w14:textId="77777777" w:rsidR="00A400CA" w:rsidRPr="0085614D" w:rsidRDefault="00A400CA" w:rsidP="009C18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7C5A3517" w14:textId="7BCF9E58" w:rsidR="00085746" w:rsidRPr="0085614D" w:rsidRDefault="00026B8C" w:rsidP="00A400CA">
      <w:pPr>
        <w:spacing w:after="0" w:line="240" w:lineRule="auto"/>
        <w:ind w:firstLine="142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85614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Secretar </w:t>
      </w:r>
      <w:r w:rsidR="00A400C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de stat</w:t>
      </w:r>
      <w:r w:rsidR="007A2F0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Pr="0085614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                                    </w:t>
      </w:r>
      <w:r w:rsidR="004663F0" w:rsidRPr="0085614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                     </w:t>
      </w:r>
      <w:r w:rsidR="00A400C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</w:t>
      </w:r>
      <w:r w:rsidR="004663F0" w:rsidRPr="0085614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="00A400C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Andrei CECOLTAN</w:t>
      </w:r>
    </w:p>
    <w:p w14:paraId="2BB39E5B" w14:textId="77777777" w:rsidR="00085746" w:rsidRPr="0085614D" w:rsidRDefault="00085746" w:rsidP="009C18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24CECB39" w14:textId="77777777" w:rsidR="00BC6032" w:rsidRPr="0085614D" w:rsidRDefault="00BC6032" w:rsidP="009C18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sectPr w:rsidR="00BC6032" w:rsidRPr="0085614D" w:rsidSect="00472263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03C9" w14:textId="77777777" w:rsidR="00472263" w:rsidRDefault="00472263" w:rsidP="000C6C95">
      <w:pPr>
        <w:spacing w:after="0" w:line="240" w:lineRule="auto"/>
      </w:pPr>
      <w:r>
        <w:separator/>
      </w:r>
    </w:p>
  </w:endnote>
  <w:endnote w:type="continuationSeparator" w:id="0">
    <w:p w14:paraId="0FFA4F47" w14:textId="77777777" w:rsidR="00472263" w:rsidRDefault="00472263" w:rsidP="000C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BF2" w14:textId="77777777" w:rsidR="00472263" w:rsidRDefault="00472263" w:rsidP="000C6C95">
      <w:pPr>
        <w:spacing w:after="0" w:line="240" w:lineRule="auto"/>
      </w:pPr>
      <w:r>
        <w:separator/>
      </w:r>
    </w:p>
  </w:footnote>
  <w:footnote w:type="continuationSeparator" w:id="0">
    <w:p w14:paraId="5AF79149" w14:textId="77777777" w:rsidR="00472263" w:rsidRDefault="00472263" w:rsidP="000C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475D"/>
    <w:multiLevelType w:val="hybridMultilevel"/>
    <w:tmpl w:val="57E2CE70"/>
    <w:lvl w:ilvl="0" w:tplc="30CC8F9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C1A5A"/>
    <w:multiLevelType w:val="hybridMultilevel"/>
    <w:tmpl w:val="63AC1DC8"/>
    <w:lvl w:ilvl="0" w:tplc="CED683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53911"/>
    <w:multiLevelType w:val="hybridMultilevel"/>
    <w:tmpl w:val="8D7C65A6"/>
    <w:lvl w:ilvl="0" w:tplc="DB6A160E">
      <w:start w:val="1"/>
      <w:numFmt w:val="upperRoman"/>
      <w:lvlText w:val="%1."/>
      <w:lvlJc w:val="left"/>
      <w:pPr>
        <w:ind w:left="1451" w:hanging="720"/>
      </w:pPr>
      <w:rPr>
        <w:rFonts w:eastAsia="Calibr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11" w:hanging="360"/>
      </w:pPr>
    </w:lvl>
    <w:lvl w:ilvl="2" w:tplc="0418001B" w:tentative="1">
      <w:start w:val="1"/>
      <w:numFmt w:val="lowerRoman"/>
      <w:lvlText w:val="%3."/>
      <w:lvlJc w:val="right"/>
      <w:pPr>
        <w:ind w:left="2531" w:hanging="180"/>
      </w:pPr>
    </w:lvl>
    <w:lvl w:ilvl="3" w:tplc="0418000F" w:tentative="1">
      <w:start w:val="1"/>
      <w:numFmt w:val="decimal"/>
      <w:lvlText w:val="%4."/>
      <w:lvlJc w:val="left"/>
      <w:pPr>
        <w:ind w:left="3251" w:hanging="360"/>
      </w:pPr>
    </w:lvl>
    <w:lvl w:ilvl="4" w:tplc="04180019" w:tentative="1">
      <w:start w:val="1"/>
      <w:numFmt w:val="lowerLetter"/>
      <w:lvlText w:val="%5."/>
      <w:lvlJc w:val="left"/>
      <w:pPr>
        <w:ind w:left="3971" w:hanging="360"/>
      </w:pPr>
    </w:lvl>
    <w:lvl w:ilvl="5" w:tplc="0418001B" w:tentative="1">
      <w:start w:val="1"/>
      <w:numFmt w:val="lowerRoman"/>
      <w:lvlText w:val="%6."/>
      <w:lvlJc w:val="right"/>
      <w:pPr>
        <w:ind w:left="4691" w:hanging="180"/>
      </w:pPr>
    </w:lvl>
    <w:lvl w:ilvl="6" w:tplc="0418000F" w:tentative="1">
      <w:start w:val="1"/>
      <w:numFmt w:val="decimal"/>
      <w:lvlText w:val="%7."/>
      <w:lvlJc w:val="left"/>
      <w:pPr>
        <w:ind w:left="5411" w:hanging="360"/>
      </w:pPr>
    </w:lvl>
    <w:lvl w:ilvl="7" w:tplc="04180019" w:tentative="1">
      <w:start w:val="1"/>
      <w:numFmt w:val="lowerLetter"/>
      <w:lvlText w:val="%8."/>
      <w:lvlJc w:val="left"/>
      <w:pPr>
        <w:ind w:left="6131" w:hanging="360"/>
      </w:pPr>
    </w:lvl>
    <w:lvl w:ilvl="8" w:tplc="0418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6B7E70"/>
    <w:multiLevelType w:val="hybridMultilevel"/>
    <w:tmpl w:val="A214445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402A4"/>
    <w:multiLevelType w:val="hybridMultilevel"/>
    <w:tmpl w:val="F6B4F992"/>
    <w:lvl w:ilvl="0" w:tplc="0819000B">
      <w:start w:val="1"/>
      <w:numFmt w:val="bullet"/>
      <w:lvlText w:val=""/>
      <w:lvlJc w:val="left"/>
      <w:pPr>
        <w:ind w:left="1451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 w16cid:durableId="639965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64616">
    <w:abstractNumId w:val="0"/>
  </w:num>
  <w:num w:numId="3" w16cid:durableId="45421991">
    <w:abstractNumId w:val="4"/>
  </w:num>
  <w:num w:numId="4" w16cid:durableId="431902669">
    <w:abstractNumId w:val="1"/>
  </w:num>
  <w:num w:numId="5" w16cid:durableId="1819031458">
    <w:abstractNumId w:val="5"/>
  </w:num>
  <w:num w:numId="6" w16cid:durableId="93358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91"/>
    <w:rsid w:val="00003580"/>
    <w:rsid w:val="00026B8C"/>
    <w:rsid w:val="00031CC8"/>
    <w:rsid w:val="00042825"/>
    <w:rsid w:val="00042B02"/>
    <w:rsid w:val="000605EB"/>
    <w:rsid w:val="000633F6"/>
    <w:rsid w:val="00066E79"/>
    <w:rsid w:val="00081D31"/>
    <w:rsid w:val="00085746"/>
    <w:rsid w:val="000A212F"/>
    <w:rsid w:val="000B3AF0"/>
    <w:rsid w:val="000C61A6"/>
    <w:rsid w:val="000C6C95"/>
    <w:rsid w:val="000D35D7"/>
    <w:rsid w:val="000E761E"/>
    <w:rsid w:val="000F0BA0"/>
    <w:rsid w:val="00101129"/>
    <w:rsid w:val="00103FFC"/>
    <w:rsid w:val="001043A7"/>
    <w:rsid w:val="00110EF3"/>
    <w:rsid w:val="00116A03"/>
    <w:rsid w:val="00126D1F"/>
    <w:rsid w:val="001279D8"/>
    <w:rsid w:val="00130541"/>
    <w:rsid w:val="0013313B"/>
    <w:rsid w:val="00134DD0"/>
    <w:rsid w:val="0014204F"/>
    <w:rsid w:val="00143AC5"/>
    <w:rsid w:val="00146C7C"/>
    <w:rsid w:val="0014743E"/>
    <w:rsid w:val="00161B5F"/>
    <w:rsid w:val="00162F6E"/>
    <w:rsid w:val="00174684"/>
    <w:rsid w:val="00181901"/>
    <w:rsid w:val="001821A3"/>
    <w:rsid w:val="001B0EC2"/>
    <w:rsid w:val="001C245F"/>
    <w:rsid w:val="001C359A"/>
    <w:rsid w:val="001C61CC"/>
    <w:rsid w:val="001C65FD"/>
    <w:rsid w:val="001E33AA"/>
    <w:rsid w:val="0021014F"/>
    <w:rsid w:val="00222EBD"/>
    <w:rsid w:val="00247606"/>
    <w:rsid w:val="00250B53"/>
    <w:rsid w:val="002605F9"/>
    <w:rsid w:val="00264FC0"/>
    <w:rsid w:val="00284941"/>
    <w:rsid w:val="002B3AF3"/>
    <w:rsid w:val="002D108C"/>
    <w:rsid w:val="002D5821"/>
    <w:rsid w:val="002F5043"/>
    <w:rsid w:val="00301883"/>
    <w:rsid w:val="003027CB"/>
    <w:rsid w:val="0030764E"/>
    <w:rsid w:val="00330D31"/>
    <w:rsid w:val="00332027"/>
    <w:rsid w:val="00344BBC"/>
    <w:rsid w:val="00346670"/>
    <w:rsid w:val="00357CC1"/>
    <w:rsid w:val="00381C09"/>
    <w:rsid w:val="00385DEF"/>
    <w:rsid w:val="0038755C"/>
    <w:rsid w:val="00391467"/>
    <w:rsid w:val="0039186A"/>
    <w:rsid w:val="00394180"/>
    <w:rsid w:val="0039448E"/>
    <w:rsid w:val="003B3154"/>
    <w:rsid w:val="003B3C94"/>
    <w:rsid w:val="003B6C64"/>
    <w:rsid w:val="003D11D6"/>
    <w:rsid w:val="003D5BE5"/>
    <w:rsid w:val="003E0094"/>
    <w:rsid w:val="003F2980"/>
    <w:rsid w:val="003F7A08"/>
    <w:rsid w:val="0040773B"/>
    <w:rsid w:val="00415D42"/>
    <w:rsid w:val="004476B5"/>
    <w:rsid w:val="00455C96"/>
    <w:rsid w:val="00461D8A"/>
    <w:rsid w:val="0046212B"/>
    <w:rsid w:val="004663F0"/>
    <w:rsid w:val="00472263"/>
    <w:rsid w:val="004777C1"/>
    <w:rsid w:val="00481D54"/>
    <w:rsid w:val="00494A50"/>
    <w:rsid w:val="00496817"/>
    <w:rsid w:val="004A7E6B"/>
    <w:rsid w:val="004D647C"/>
    <w:rsid w:val="004E259D"/>
    <w:rsid w:val="004E3C6D"/>
    <w:rsid w:val="004E46CD"/>
    <w:rsid w:val="004F36F1"/>
    <w:rsid w:val="004F4676"/>
    <w:rsid w:val="004F4C34"/>
    <w:rsid w:val="0051482B"/>
    <w:rsid w:val="005218C0"/>
    <w:rsid w:val="00537D95"/>
    <w:rsid w:val="00542896"/>
    <w:rsid w:val="0055549E"/>
    <w:rsid w:val="00564FE9"/>
    <w:rsid w:val="00573834"/>
    <w:rsid w:val="0057771B"/>
    <w:rsid w:val="00586FC0"/>
    <w:rsid w:val="005B3990"/>
    <w:rsid w:val="005C5217"/>
    <w:rsid w:val="005C586C"/>
    <w:rsid w:val="005D348E"/>
    <w:rsid w:val="005D4D77"/>
    <w:rsid w:val="005E0F6B"/>
    <w:rsid w:val="00602981"/>
    <w:rsid w:val="00615D7A"/>
    <w:rsid w:val="00632333"/>
    <w:rsid w:val="00640C82"/>
    <w:rsid w:val="00655F9E"/>
    <w:rsid w:val="006615B0"/>
    <w:rsid w:val="00661893"/>
    <w:rsid w:val="00664174"/>
    <w:rsid w:val="006808FE"/>
    <w:rsid w:val="00684661"/>
    <w:rsid w:val="006A02B8"/>
    <w:rsid w:val="006A7C5F"/>
    <w:rsid w:val="006B67C9"/>
    <w:rsid w:val="006D2F17"/>
    <w:rsid w:val="006D667A"/>
    <w:rsid w:val="006F5A0D"/>
    <w:rsid w:val="00704711"/>
    <w:rsid w:val="00712031"/>
    <w:rsid w:val="007137C9"/>
    <w:rsid w:val="00724D15"/>
    <w:rsid w:val="007255C4"/>
    <w:rsid w:val="00725C64"/>
    <w:rsid w:val="007453C0"/>
    <w:rsid w:val="0077371A"/>
    <w:rsid w:val="007750F5"/>
    <w:rsid w:val="00794537"/>
    <w:rsid w:val="007975A0"/>
    <w:rsid w:val="007A2F0C"/>
    <w:rsid w:val="007A341C"/>
    <w:rsid w:val="007D5F83"/>
    <w:rsid w:val="007E3874"/>
    <w:rsid w:val="007E5C90"/>
    <w:rsid w:val="00804663"/>
    <w:rsid w:val="00814699"/>
    <w:rsid w:val="00815DF8"/>
    <w:rsid w:val="00823E29"/>
    <w:rsid w:val="008339AE"/>
    <w:rsid w:val="0083707D"/>
    <w:rsid w:val="0083761D"/>
    <w:rsid w:val="0085614D"/>
    <w:rsid w:val="0085628F"/>
    <w:rsid w:val="00873369"/>
    <w:rsid w:val="00877C54"/>
    <w:rsid w:val="00877FC4"/>
    <w:rsid w:val="008816A7"/>
    <w:rsid w:val="0088264B"/>
    <w:rsid w:val="00885F4A"/>
    <w:rsid w:val="008B2075"/>
    <w:rsid w:val="008C201A"/>
    <w:rsid w:val="008C29C6"/>
    <w:rsid w:val="008C3174"/>
    <w:rsid w:val="008C348C"/>
    <w:rsid w:val="008C6666"/>
    <w:rsid w:val="008D1BF8"/>
    <w:rsid w:val="008D2714"/>
    <w:rsid w:val="008D32F6"/>
    <w:rsid w:val="008E0099"/>
    <w:rsid w:val="008F3D2E"/>
    <w:rsid w:val="008F4A77"/>
    <w:rsid w:val="00911854"/>
    <w:rsid w:val="0092075B"/>
    <w:rsid w:val="00921CEC"/>
    <w:rsid w:val="00921E46"/>
    <w:rsid w:val="0093462F"/>
    <w:rsid w:val="00947EC4"/>
    <w:rsid w:val="009504B3"/>
    <w:rsid w:val="0095660B"/>
    <w:rsid w:val="009659A6"/>
    <w:rsid w:val="009713C0"/>
    <w:rsid w:val="009722E7"/>
    <w:rsid w:val="00974148"/>
    <w:rsid w:val="0097522D"/>
    <w:rsid w:val="009765C3"/>
    <w:rsid w:val="00985AC7"/>
    <w:rsid w:val="0099277A"/>
    <w:rsid w:val="00994CEF"/>
    <w:rsid w:val="009A049D"/>
    <w:rsid w:val="009A12CE"/>
    <w:rsid w:val="009B1D64"/>
    <w:rsid w:val="009B37BB"/>
    <w:rsid w:val="009C18A7"/>
    <w:rsid w:val="009C2929"/>
    <w:rsid w:val="009C72E8"/>
    <w:rsid w:val="009D03C2"/>
    <w:rsid w:val="009E1712"/>
    <w:rsid w:val="009E65CB"/>
    <w:rsid w:val="009F5165"/>
    <w:rsid w:val="009F6425"/>
    <w:rsid w:val="00A03B2D"/>
    <w:rsid w:val="00A14000"/>
    <w:rsid w:val="00A30751"/>
    <w:rsid w:val="00A330D9"/>
    <w:rsid w:val="00A37144"/>
    <w:rsid w:val="00A400CA"/>
    <w:rsid w:val="00A47D6E"/>
    <w:rsid w:val="00A61727"/>
    <w:rsid w:val="00A65998"/>
    <w:rsid w:val="00A6651B"/>
    <w:rsid w:val="00A71794"/>
    <w:rsid w:val="00A838E9"/>
    <w:rsid w:val="00A9034F"/>
    <w:rsid w:val="00AA25A7"/>
    <w:rsid w:val="00AE7B78"/>
    <w:rsid w:val="00AF0391"/>
    <w:rsid w:val="00AF1FE0"/>
    <w:rsid w:val="00B02DF8"/>
    <w:rsid w:val="00B13290"/>
    <w:rsid w:val="00B176C7"/>
    <w:rsid w:val="00B2194B"/>
    <w:rsid w:val="00B247B5"/>
    <w:rsid w:val="00B27EA9"/>
    <w:rsid w:val="00B3633B"/>
    <w:rsid w:val="00B36836"/>
    <w:rsid w:val="00B43FF1"/>
    <w:rsid w:val="00B514A3"/>
    <w:rsid w:val="00B52194"/>
    <w:rsid w:val="00B5593A"/>
    <w:rsid w:val="00B630BD"/>
    <w:rsid w:val="00B721C3"/>
    <w:rsid w:val="00B7626A"/>
    <w:rsid w:val="00B93D93"/>
    <w:rsid w:val="00BA4C26"/>
    <w:rsid w:val="00BB33C7"/>
    <w:rsid w:val="00BB3F9B"/>
    <w:rsid w:val="00BB4AD2"/>
    <w:rsid w:val="00BB6AB1"/>
    <w:rsid w:val="00BC6032"/>
    <w:rsid w:val="00BC7982"/>
    <w:rsid w:val="00BE05D8"/>
    <w:rsid w:val="00BE4C29"/>
    <w:rsid w:val="00C00CB8"/>
    <w:rsid w:val="00C078F1"/>
    <w:rsid w:val="00C112D1"/>
    <w:rsid w:val="00C34015"/>
    <w:rsid w:val="00C41292"/>
    <w:rsid w:val="00C44FA9"/>
    <w:rsid w:val="00C51FD0"/>
    <w:rsid w:val="00C559DF"/>
    <w:rsid w:val="00C67834"/>
    <w:rsid w:val="00C7672C"/>
    <w:rsid w:val="00C828F8"/>
    <w:rsid w:val="00CA79BC"/>
    <w:rsid w:val="00CC3720"/>
    <w:rsid w:val="00CC5B83"/>
    <w:rsid w:val="00CC76B4"/>
    <w:rsid w:val="00CC76F4"/>
    <w:rsid w:val="00CD1AA5"/>
    <w:rsid w:val="00CE00DE"/>
    <w:rsid w:val="00CE36BE"/>
    <w:rsid w:val="00CE7B18"/>
    <w:rsid w:val="00CF4BE8"/>
    <w:rsid w:val="00D0282B"/>
    <w:rsid w:val="00D067A1"/>
    <w:rsid w:val="00D20CB7"/>
    <w:rsid w:val="00D31215"/>
    <w:rsid w:val="00D42C81"/>
    <w:rsid w:val="00D43A13"/>
    <w:rsid w:val="00D57E04"/>
    <w:rsid w:val="00D62E98"/>
    <w:rsid w:val="00D84D87"/>
    <w:rsid w:val="00DA4391"/>
    <w:rsid w:val="00DB1BBE"/>
    <w:rsid w:val="00DC49D8"/>
    <w:rsid w:val="00DD0E65"/>
    <w:rsid w:val="00DE7319"/>
    <w:rsid w:val="00DF78E6"/>
    <w:rsid w:val="00E06CC9"/>
    <w:rsid w:val="00E12655"/>
    <w:rsid w:val="00E257D1"/>
    <w:rsid w:val="00E53ADC"/>
    <w:rsid w:val="00E564C3"/>
    <w:rsid w:val="00E73FBE"/>
    <w:rsid w:val="00E975B3"/>
    <w:rsid w:val="00E97874"/>
    <w:rsid w:val="00E97CAF"/>
    <w:rsid w:val="00EC4145"/>
    <w:rsid w:val="00EC5A06"/>
    <w:rsid w:val="00EC6C75"/>
    <w:rsid w:val="00ED1D63"/>
    <w:rsid w:val="00F13A5C"/>
    <w:rsid w:val="00F15CD5"/>
    <w:rsid w:val="00F31ACA"/>
    <w:rsid w:val="00F33D33"/>
    <w:rsid w:val="00F33F7D"/>
    <w:rsid w:val="00F378C8"/>
    <w:rsid w:val="00F4729A"/>
    <w:rsid w:val="00F548E9"/>
    <w:rsid w:val="00F636BD"/>
    <w:rsid w:val="00F77C36"/>
    <w:rsid w:val="00F87ACC"/>
    <w:rsid w:val="00F95EE6"/>
    <w:rsid w:val="00FA26DA"/>
    <w:rsid w:val="00FA2D36"/>
    <w:rsid w:val="00FA412C"/>
    <w:rsid w:val="00FB02BE"/>
    <w:rsid w:val="00FB50CE"/>
    <w:rsid w:val="00FB68F6"/>
    <w:rsid w:val="00FC2FEC"/>
    <w:rsid w:val="00FC6A8D"/>
    <w:rsid w:val="00FD5033"/>
    <w:rsid w:val="00FD6125"/>
    <w:rsid w:val="00FE25F2"/>
    <w:rsid w:val="00F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7C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02BE"/>
    <w:pPr>
      <w:ind w:left="720"/>
      <w:contextualSpacing/>
    </w:pPr>
  </w:style>
  <w:style w:type="paragraph" w:customStyle="1" w:styleId="Default">
    <w:name w:val="Default"/>
    <w:rsid w:val="00FB0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B02BE"/>
  </w:style>
  <w:style w:type="character" w:styleId="a5">
    <w:name w:val="Strong"/>
    <w:basedOn w:val="a0"/>
    <w:uiPriority w:val="22"/>
    <w:qFormat/>
    <w:rsid w:val="00FB68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AD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14743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9">
    <w:name w:val="Основной текст с отступом Знак"/>
    <w:basedOn w:val="a0"/>
    <w:link w:val="a8"/>
    <w:rsid w:val="0014743E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a">
    <w:name w:val="header"/>
    <w:basedOn w:val="a"/>
    <w:link w:val="ab"/>
    <w:uiPriority w:val="99"/>
    <w:unhideWhenUsed/>
    <w:rsid w:val="000C6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6C95"/>
  </w:style>
  <w:style w:type="paragraph" w:styleId="ac">
    <w:name w:val="footer"/>
    <w:basedOn w:val="a"/>
    <w:link w:val="ad"/>
    <w:uiPriority w:val="99"/>
    <w:unhideWhenUsed/>
    <w:rsid w:val="000C6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6C95"/>
  </w:style>
  <w:style w:type="character" w:styleId="ae">
    <w:name w:val="Hyperlink"/>
    <w:basedOn w:val="a0"/>
    <w:uiPriority w:val="99"/>
    <w:unhideWhenUsed/>
    <w:rsid w:val="005218C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21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proiectul-hotararii-de-guvern-pentru-modificarea-hotararii-guvernului-nr-3572009-cu-privire-la-aprobarea-regulamentului-circulatiei-rutiereexploatarea-vehiculelor-cu-volanul-amplasat-pe-partea-dreapta/121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D2E4-537A-4275-82B8-CEBF6375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1902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2024-02-27T07:16:00Z</dcterms:created>
  <dcterms:modified xsi:type="dcterms:W3CDTF">2024-04-03T05:11:00Z</dcterms:modified>
</cp:coreProperties>
</file>