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F8" w:rsidRPr="002166F8" w:rsidRDefault="002166F8" w:rsidP="002166F8">
      <w:pPr>
        <w:widowControl w:val="0"/>
        <w:autoSpaceDE w:val="0"/>
        <w:autoSpaceDN w:val="0"/>
        <w:spacing w:before="59" w:after="0"/>
        <w:ind w:left="60" w:right="65"/>
        <w:jc w:val="center"/>
        <w:rPr>
          <w:rFonts w:eastAsia="Times New Roman" w:cs="Times New Roman"/>
          <w:b/>
          <w:lang w:val="ro-RO"/>
        </w:rPr>
      </w:pPr>
      <w:r w:rsidRPr="002166F8">
        <w:rPr>
          <w:rFonts w:eastAsia="Times New Roman" w:cs="Times New Roman"/>
          <w:b/>
          <w:lang w:val="ro-RO"/>
        </w:rPr>
        <w:t>NOTĂ</w:t>
      </w:r>
      <w:r w:rsidRPr="002166F8">
        <w:rPr>
          <w:rFonts w:eastAsia="Times New Roman" w:cs="Times New Roman"/>
          <w:b/>
          <w:spacing w:val="-5"/>
          <w:lang w:val="ro-RO"/>
        </w:rPr>
        <w:t xml:space="preserve"> </w:t>
      </w:r>
      <w:r w:rsidRPr="002166F8">
        <w:rPr>
          <w:rFonts w:eastAsia="Times New Roman" w:cs="Times New Roman"/>
          <w:b/>
          <w:lang w:val="ro-RO"/>
        </w:rPr>
        <w:t>INFORMATIVĂ</w:t>
      </w:r>
    </w:p>
    <w:p w:rsidR="002166F8" w:rsidRPr="002166F8" w:rsidRDefault="002166F8" w:rsidP="002166F8">
      <w:pPr>
        <w:widowControl w:val="0"/>
        <w:autoSpaceDE w:val="0"/>
        <w:autoSpaceDN w:val="0"/>
        <w:spacing w:after="0"/>
        <w:ind w:left="60" w:right="72"/>
        <w:jc w:val="center"/>
        <w:outlineLvl w:val="0"/>
        <w:rPr>
          <w:rFonts w:eastAsia="Times New Roman" w:cs="Times New Roman"/>
          <w:b/>
          <w:bCs/>
          <w:szCs w:val="28"/>
          <w:lang w:val="ro-RO"/>
        </w:rPr>
      </w:pPr>
      <w:r w:rsidRPr="002166F8">
        <w:rPr>
          <w:rFonts w:eastAsia="Times New Roman" w:cs="Times New Roman"/>
          <w:b/>
          <w:bCs/>
          <w:szCs w:val="28"/>
          <w:lang w:val="ro-RO"/>
        </w:rPr>
        <w:t>la proiectul Legii pentru modificarea Legii nr. 124/2022 privind identificarea</w:t>
      </w:r>
      <w:r w:rsidRPr="002166F8">
        <w:rPr>
          <w:rFonts w:eastAsia="Times New Roman" w:cs="Times New Roman"/>
          <w:b/>
          <w:bCs/>
          <w:spacing w:val="-67"/>
          <w:szCs w:val="28"/>
          <w:lang w:val="ro-RO"/>
        </w:rPr>
        <w:t xml:space="preserve"> </w:t>
      </w:r>
      <w:r w:rsidRPr="002166F8">
        <w:rPr>
          <w:rFonts w:eastAsia="Times New Roman" w:cs="Times New Roman"/>
          <w:b/>
          <w:bCs/>
          <w:szCs w:val="28"/>
          <w:lang w:val="ro-RO"/>
        </w:rPr>
        <w:t>electronica și</w:t>
      </w:r>
      <w:r w:rsidRPr="002166F8">
        <w:rPr>
          <w:rFonts w:eastAsia="Times New Roman" w:cs="Times New Roman"/>
          <w:b/>
          <w:bCs/>
          <w:spacing w:val="2"/>
          <w:szCs w:val="28"/>
          <w:lang w:val="ro-RO"/>
        </w:rPr>
        <w:t xml:space="preserve"> </w:t>
      </w:r>
      <w:r w:rsidRPr="002166F8">
        <w:rPr>
          <w:rFonts w:eastAsia="Times New Roman" w:cs="Times New Roman"/>
          <w:b/>
          <w:bCs/>
          <w:szCs w:val="28"/>
          <w:lang w:val="ro-RO"/>
        </w:rPr>
        <w:t>serviciile de încredere</w:t>
      </w:r>
    </w:p>
    <w:p w:rsidR="002166F8" w:rsidRPr="002166F8" w:rsidRDefault="002166F8" w:rsidP="002166F8">
      <w:pPr>
        <w:widowControl w:val="0"/>
        <w:autoSpaceDE w:val="0"/>
        <w:autoSpaceDN w:val="0"/>
        <w:spacing w:before="1" w:after="0"/>
        <w:rPr>
          <w:rFonts w:eastAsia="Times New Roman" w:cs="Times New Roman"/>
          <w:b/>
          <w:szCs w:val="28"/>
          <w:lang w:val="ro-RO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3"/>
      </w:tblGrid>
      <w:tr w:rsidR="002166F8" w:rsidRPr="002166F8" w:rsidTr="002166F8">
        <w:trPr>
          <w:trHeight w:val="323"/>
        </w:trPr>
        <w:tc>
          <w:tcPr>
            <w:tcW w:w="9453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1.</w:t>
            </w:r>
            <w:r w:rsidRPr="002166F8">
              <w:rPr>
                <w:rFonts w:eastAsia="Times New Roman" w:cs="Times New Roman"/>
                <w:b/>
                <w:spacing w:val="-1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Denumirea</w:t>
            </w:r>
            <w:r w:rsidRPr="002166F8">
              <w:rPr>
                <w:rFonts w:eastAsia="Times New Roman" w:cs="Times New Roman"/>
                <w:b/>
                <w:spacing w:val="-1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autorului</w:t>
            </w:r>
            <w:r w:rsidRPr="002166F8">
              <w:rPr>
                <w:rFonts w:eastAsia="Times New Roman" w:cs="Times New Roman"/>
                <w:b/>
                <w:spacing w:val="-1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şi,</w:t>
            </w:r>
            <w:r w:rsidRPr="002166F8">
              <w:rPr>
                <w:rFonts w:eastAsia="Times New Roman" w:cs="Times New Roman"/>
                <w:b/>
                <w:spacing w:val="-1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după</w:t>
            </w:r>
            <w:r w:rsidRPr="002166F8">
              <w:rPr>
                <w:rFonts w:eastAsia="Times New Roman" w:cs="Times New Roman"/>
                <w:b/>
                <w:spacing w:val="-1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caz,</w:t>
            </w:r>
            <w:r w:rsidRPr="002166F8">
              <w:rPr>
                <w:rFonts w:eastAsia="Times New Roman" w:cs="Times New Roman"/>
                <w:b/>
                <w:spacing w:val="-1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a</w:t>
            </w:r>
            <w:r w:rsidRPr="002166F8">
              <w:rPr>
                <w:rFonts w:eastAsia="Times New Roman" w:cs="Times New Roman"/>
                <w:b/>
                <w:spacing w:val="-1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>participanților</w:t>
            </w:r>
            <w:r w:rsidRPr="002166F8">
              <w:rPr>
                <w:rFonts w:eastAsia="Times New Roman" w:cs="Times New Roman"/>
                <w:b/>
                <w:spacing w:val="-1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la</w:t>
            </w:r>
            <w:r w:rsidRPr="002166F8">
              <w:rPr>
                <w:rFonts w:eastAsia="Times New Roman" w:cs="Times New Roman"/>
                <w:b/>
                <w:spacing w:val="-1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elaborarea</w:t>
            </w:r>
            <w:r w:rsidRPr="002166F8">
              <w:rPr>
                <w:rFonts w:eastAsia="Times New Roman" w:cs="Times New Roman"/>
                <w:b/>
                <w:spacing w:val="-1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proiectului</w:t>
            </w:r>
          </w:p>
        </w:tc>
      </w:tr>
      <w:tr w:rsidR="002166F8" w:rsidRPr="002166F8" w:rsidTr="00245846">
        <w:trPr>
          <w:trHeight w:val="642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Proiectul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este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elaborat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1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către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Ministerul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Dezvoltării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Economice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Digitalizării</w:t>
            </w:r>
            <w:r w:rsidRPr="002166F8">
              <w:rPr>
                <w:rFonts w:eastAsia="Times New Roman" w:cs="Times New Roman"/>
                <w:spacing w:val="-1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colaborare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Serviciul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Informații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Securitate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al</w:t>
            </w:r>
            <w:r w:rsidRPr="002166F8">
              <w:rPr>
                <w:rFonts w:eastAsia="Times New Roman" w:cs="Times New Roman"/>
                <w:spacing w:val="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Republicii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Moldova.</w:t>
            </w:r>
          </w:p>
        </w:tc>
      </w:tr>
      <w:tr w:rsidR="002166F8" w:rsidRPr="002166F8" w:rsidTr="002166F8">
        <w:trPr>
          <w:trHeight w:val="645"/>
        </w:trPr>
        <w:tc>
          <w:tcPr>
            <w:tcW w:w="9453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0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2.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Condițiile ce au impus</w:t>
            </w:r>
            <w:r w:rsidRPr="002166F8">
              <w:rPr>
                <w:rFonts w:eastAsia="Times New Roman" w:cs="Times New Roman"/>
                <w:b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elaborarea proiectului</w:t>
            </w:r>
            <w:r w:rsidRPr="002166F8">
              <w:rPr>
                <w:rFonts w:eastAsia="Times New Roman" w:cs="Times New Roman"/>
                <w:b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de</w:t>
            </w:r>
            <w:r w:rsidRPr="002166F8">
              <w:rPr>
                <w:rFonts w:eastAsia="Times New Roman" w:cs="Times New Roman"/>
                <w:b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act normativ</w:t>
            </w:r>
            <w:r w:rsidRPr="002166F8">
              <w:rPr>
                <w:rFonts w:eastAsia="Times New Roman" w:cs="Times New Roman"/>
                <w:b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şi</w:t>
            </w:r>
            <w:r w:rsidRPr="002166F8">
              <w:rPr>
                <w:rFonts w:eastAsia="Times New Roman" w:cs="Times New Roman"/>
                <w:b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finalitățile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before="2" w:after="0" w:line="304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urmărite</w:t>
            </w:r>
          </w:p>
        </w:tc>
      </w:tr>
      <w:tr w:rsidR="002166F8" w:rsidRPr="002166F8" w:rsidTr="00245846">
        <w:trPr>
          <w:trHeight w:val="10304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/>
              <w:ind w:left="107" w:right="9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Condițiile care au impus elaborarea prezentului proiect de act normativ constituie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nivelul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scăzut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utilizare 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serviciilor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electronice,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inclusiv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serviciilor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 calificate, precum și imposibilitatea utilizării serviciilor de încredere în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raport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persoanele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alte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state,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lipsa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mecanismului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recunoaștere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internațională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acestora,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fapt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ce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stagnează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procesul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dezvoltare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țării,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precum</w:t>
            </w:r>
            <w:r w:rsidRPr="002166F8">
              <w:rPr>
                <w:rFonts w:eastAsia="Times New Roman" w:cs="Times New Roman"/>
                <w:spacing w:val="-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îngreunează procesele de interacțiune la distanță între Republica Moldova și țările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 Uniunea Europeană.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/>
              <w:ind w:left="107" w:right="98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Necesitatea elaborării proiectului rezultă inclusiv din necesitatea extinderii pieței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serviciilor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calificate,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prin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atragerea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teritoriul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Republicii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Moldova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prestatorilor de servicii de încredere calificate la nivelul Uniunii Europene, precum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necesitatea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unificării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modelului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autorizare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prestatorilor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încredere.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Totodată,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apare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necesitatea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stabilirii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mecanismului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asigurare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conformității,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similar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celui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stabilit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statele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membre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UE,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cum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desfășurarea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către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 servicii de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 a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auditului de conformitate.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/>
              <w:ind w:left="107" w:right="94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Atragerea în Republica Moldova a prestatorilor de servicii de încredere calificate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 nivel UE, va fi posibilă prin simplificarea procedurii de autorizare a acestora,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astfel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devenind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mai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atractivă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pentru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prestatorii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străini.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/>
              <w:ind w:left="107" w:right="95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Cu referire la norma care exclude procedura aprobării tacite în privința acreditării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prestatorilor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serviciilor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menționăm că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aceasta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este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necesară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considerentul importanței serviciului de încredere și urmările grave care ar putea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succeda din cauza omiterii verificărilor de către o comisie de specialitate. Or,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consecințele negative ar putea afecta nu doar autoritățile implicate în domeniul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prestării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serviciilor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calificate,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dar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cetățenii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Republicii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Moldova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care</w:t>
            </w:r>
            <w:r w:rsidRPr="002166F8">
              <w:rPr>
                <w:rFonts w:eastAsia="Times New Roman" w:cs="Times New Roman"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 alege să beneficieze de semnătură electronică, eliberată de către o entitate care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nu a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fost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verificată de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către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organele competente.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/>
              <w:ind w:left="107" w:right="100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Totodată, pct. 3-5 din Art. I al proiectului pentru modificarea Legii nr. 124/2022,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stabilește excluderea mecanismului de certificare a cheilor publice a prestatorilor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 servicii de încredere calificați ca prestator de servicii de încredere de nivel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superior.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0" w:lineRule="exact"/>
              <w:ind w:left="10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Suplimentar,</w:t>
            </w:r>
            <w:r w:rsidRPr="002166F8">
              <w:rPr>
                <w:rFonts w:eastAsia="Times New Roman" w:cs="Times New Roman"/>
                <w:spacing w:val="5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eliminarea</w:t>
            </w:r>
            <w:r w:rsidRPr="002166F8">
              <w:rPr>
                <w:rFonts w:eastAsia="Times New Roman" w:cs="Times New Roman"/>
                <w:spacing w:val="5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funcției</w:t>
            </w:r>
            <w:r w:rsidRPr="002166F8">
              <w:rPr>
                <w:rFonts w:eastAsia="Times New Roman" w:cs="Times New Roman"/>
                <w:spacing w:val="5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</w:t>
            </w:r>
            <w:r w:rsidRPr="002166F8">
              <w:rPr>
                <w:rFonts w:eastAsia="Times New Roman" w:cs="Times New Roman"/>
                <w:spacing w:val="5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5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5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nivel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 w:right="9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superior,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rezultă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necesitatea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simplificării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procedurii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funcționare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prestatorilor</w:t>
            </w:r>
            <w:r w:rsidRPr="002166F8">
              <w:rPr>
                <w:rFonts w:eastAsia="Times New Roman" w:cs="Times New Roman"/>
                <w:spacing w:val="9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9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9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9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9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9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va</w:t>
            </w:r>
            <w:r w:rsidRPr="002166F8">
              <w:rPr>
                <w:rFonts w:eastAsia="Times New Roman" w:cs="Times New Roman"/>
                <w:spacing w:val="9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duce</w:t>
            </w:r>
            <w:r w:rsidRPr="002166F8">
              <w:rPr>
                <w:rFonts w:eastAsia="Times New Roman" w:cs="Times New Roman"/>
                <w:spacing w:val="9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9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independența</w:t>
            </w:r>
            <w:r w:rsidRPr="002166F8">
              <w:rPr>
                <w:rFonts w:eastAsia="Times New Roman" w:cs="Times New Roman"/>
                <w:spacing w:val="9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tehnică</w:t>
            </w:r>
            <w:r w:rsidRPr="002166F8">
              <w:rPr>
                <w:rFonts w:eastAsia="Times New Roman" w:cs="Times New Roman"/>
                <w:spacing w:val="9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</w:p>
        </w:tc>
      </w:tr>
    </w:tbl>
    <w:p w:rsidR="002166F8" w:rsidRPr="002166F8" w:rsidRDefault="002166F8" w:rsidP="002166F8">
      <w:pPr>
        <w:widowControl w:val="0"/>
        <w:autoSpaceDE w:val="0"/>
        <w:autoSpaceDN w:val="0"/>
        <w:spacing w:after="0" w:line="322" w:lineRule="exact"/>
        <w:rPr>
          <w:rFonts w:eastAsia="Times New Roman" w:cs="Times New Roman"/>
          <w:lang w:val="ro-RO"/>
        </w:rPr>
        <w:sectPr w:rsidR="002166F8" w:rsidRPr="002166F8">
          <w:pgSz w:w="12240" w:h="15840"/>
          <w:pgMar w:top="1160" w:right="840" w:bottom="700" w:left="1700" w:header="0" w:footer="436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9"/>
      </w:tblGrid>
      <w:tr w:rsidR="002166F8" w:rsidRPr="002166F8" w:rsidTr="00245846">
        <w:trPr>
          <w:trHeight w:val="1401"/>
        </w:trPr>
        <w:tc>
          <w:tcPr>
            <w:tcW w:w="9369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lastRenderedPageBreak/>
              <w:t>prestatorilor,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7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posibilitatea</w:t>
            </w:r>
            <w:r w:rsidRPr="002166F8">
              <w:rPr>
                <w:rFonts w:eastAsia="Times New Roman" w:cs="Times New Roman"/>
                <w:spacing w:val="7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implementării</w:t>
            </w:r>
            <w:r w:rsidRPr="002166F8">
              <w:rPr>
                <w:rFonts w:eastAsia="Times New Roman" w:cs="Times New Roman"/>
                <w:spacing w:val="7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mai</w:t>
            </w:r>
            <w:r w:rsidRPr="002166F8">
              <w:rPr>
                <w:rFonts w:eastAsia="Times New Roman" w:cs="Times New Roman"/>
                <w:spacing w:val="7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rapide</w:t>
            </w:r>
            <w:r w:rsidRPr="002166F8">
              <w:rPr>
                <w:rFonts w:eastAsia="Times New Roman" w:cs="Times New Roman"/>
                <w:spacing w:val="7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7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tehnologiilor</w:t>
            </w:r>
            <w:r w:rsidRPr="002166F8">
              <w:rPr>
                <w:rFonts w:eastAsia="Times New Roman" w:cs="Times New Roman"/>
                <w:spacing w:val="7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noi</w:t>
            </w:r>
            <w:r w:rsidRPr="002166F8">
              <w:rPr>
                <w:rFonts w:eastAsia="Times New Roman" w:cs="Times New Roman"/>
                <w:spacing w:val="7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/>
              <w:ind w:left="107" w:right="9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infrastructura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cheilor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publice,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fără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necesitatea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contrasemnării/certificării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fiecare</w:t>
            </w:r>
            <w:r w:rsidRPr="002166F8">
              <w:rPr>
                <w:rFonts w:eastAsia="Times New Roman" w:cs="Times New Roman"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dată a certificatelor cheilor publice la prestator de servicii de încredere de nivel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superior,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astfel economisind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timpul,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resursele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tehnice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 financiare.</w:t>
            </w:r>
          </w:p>
        </w:tc>
      </w:tr>
      <w:tr w:rsidR="002166F8" w:rsidRPr="002166F8" w:rsidTr="002166F8">
        <w:trPr>
          <w:trHeight w:val="642"/>
        </w:trPr>
        <w:tc>
          <w:tcPr>
            <w:tcW w:w="9369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11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3.</w:t>
            </w:r>
            <w:r w:rsidRPr="002166F8">
              <w:rPr>
                <w:rFonts w:eastAsia="Times New Roman" w:cs="Times New Roman"/>
                <w:b/>
                <w:spacing w:val="3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Descrierea</w:t>
            </w:r>
            <w:r w:rsidRPr="002166F8">
              <w:rPr>
                <w:rFonts w:eastAsia="Times New Roman" w:cs="Times New Roman"/>
                <w:b/>
                <w:spacing w:val="3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gradului</w:t>
            </w:r>
            <w:r w:rsidRPr="002166F8">
              <w:rPr>
                <w:rFonts w:eastAsia="Times New Roman" w:cs="Times New Roman"/>
                <w:b/>
                <w:spacing w:val="3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de</w:t>
            </w:r>
            <w:r w:rsidRPr="002166F8">
              <w:rPr>
                <w:rFonts w:eastAsia="Times New Roman" w:cs="Times New Roman"/>
                <w:b/>
                <w:spacing w:val="3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compatibilitate</w:t>
            </w:r>
            <w:r w:rsidRPr="002166F8">
              <w:rPr>
                <w:rFonts w:eastAsia="Times New Roman" w:cs="Times New Roman"/>
                <w:b/>
                <w:spacing w:val="3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pentru</w:t>
            </w:r>
            <w:r w:rsidRPr="002166F8">
              <w:rPr>
                <w:rFonts w:eastAsia="Times New Roman" w:cs="Times New Roman"/>
                <w:b/>
                <w:spacing w:val="3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proiectele</w:t>
            </w:r>
            <w:r w:rsidRPr="002166F8">
              <w:rPr>
                <w:rFonts w:eastAsia="Times New Roman" w:cs="Times New Roman"/>
                <w:b/>
                <w:spacing w:val="3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care</w:t>
            </w:r>
            <w:r w:rsidRPr="002166F8">
              <w:rPr>
                <w:rFonts w:eastAsia="Times New Roman" w:cs="Times New Roman"/>
                <w:b/>
                <w:spacing w:val="3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au</w:t>
            </w:r>
            <w:r w:rsidRPr="002166F8">
              <w:rPr>
                <w:rFonts w:eastAsia="Times New Roman" w:cs="Times New Roman"/>
                <w:b/>
                <w:spacing w:val="3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ca</w:t>
            </w:r>
            <w:r w:rsidRPr="002166F8">
              <w:rPr>
                <w:rFonts w:eastAsia="Times New Roman" w:cs="Times New Roman"/>
                <w:b/>
                <w:spacing w:val="3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scop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11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armonizarea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legislaţiei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naţionale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cu</w:t>
            </w:r>
            <w:r w:rsidRPr="002166F8">
              <w:rPr>
                <w:rFonts w:eastAsia="Times New Roman" w:cs="Times New Roman"/>
                <w:b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legislaţia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Uniunii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Europene</w:t>
            </w:r>
          </w:p>
        </w:tc>
      </w:tr>
      <w:tr w:rsidR="002166F8" w:rsidRPr="002166F8" w:rsidTr="00245846">
        <w:trPr>
          <w:trHeight w:val="4185"/>
        </w:trPr>
        <w:tc>
          <w:tcPr>
            <w:tcW w:w="9369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Proiectul</w:t>
            </w:r>
            <w:r w:rsidRPr="002166F8">
              <w:rPr>
                <w:rFonts w:eastAsia="Times New Roman" w:cs="Times New Roman"/>
                <w:spacing w:val="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actului,</w:t>
            </w:r>
            <w:r w:rsidRPr="002166F8">
              <w:rPr>
                <w:rFonts w:eastAsia="Times New Roman" w:cs="Times New Roman"/>
                <w:spacing w:val="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nu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are</w:t>
            </w:r>
            <w:r w:rsidRPr="002166F8">
              <w:rPr>
                <w:rFonts w:eastAsia="Times New Roman" w:cs="Times New Roman"/>
                <w:spacing w:val="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drept</w:t>
            </w:r>
            <w:r w:rsidRPr="002166F8">
              <w:rPr>
                <w:rFonts w:eastAsia="Times New Roman" w:cs="Times New Roman"/>
                <w:spacing w:val="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scop</w:t>
            </w:r>
            <w:r w:rsidRPr="002166F8">
              <w:rPr>
                <w:rFonts w:eastAsia="Times New Roman" w:cs="Times New Roman"/>
                <w:spacing w:val="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nemijlocit</w:t>
            </w:r>
            <w:r w:rsidRPr="002166F8">
              <w:rPr>
                <w:rFonts w:eastAsia="Times New Roman" w:cs="Times New Roman"/>
                <w:spacing w:val="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armonizarea</w:t>
            </w:r>
            <w:r w:rsidRPr="002166F8">
              <w:rPr>
                <w:rFonts w:eastAsia="Times New Roman" w:cs="Times New Roman"/>
                <w:spacing w:val="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legislației</w:t>
            </w:r>
            <w:r w:rsidRPr="002166F8">
              <w:rPr>
                <w:rFonts w:eastAsia="Times New Roman" w:cs="Times New Roman"/>
                <w:spacing w:val="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naționale</w:t>
            </w:r>
            <w:r w:rsidRPr="002166F8">
              <w:rPr>
                <w:rFonts w:eastAsia="Times New Roman" w:cs="Times New Roman"/>
                <w:spacing w:val="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legislația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Uniunii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Europene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nu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contravine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legislației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UE.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eastAsia="Times New Roman" w:cs="Times New Roman"/>
                <w:i/>
                <w:lang w:val="ro-RO"/>
              </w:rPr>
            </w:pPr>
            <w:r w:rsidRPr="002166F8">
              <w:rPr>
                <w:rFonts w:eastAsia="Times New Roman" w:cs="Times New Roman"/>
                <w:spacing w:val="-1"/>
                <w:lang w:val="ro-RO"/>
              </w:rPr>
              <w:t>Însă,</w:t>
            </w:r>
            <w:r w:rsidRPr="002166F8">
              <w:rPr>
                <w:rFonts w:eastAsia="Times New Roman" w:cs="Times New Roman"/>
                <w:spacing w:val="-1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>prin</w:t>
            </w:r>
            <w:r w:rsidRPr="002166F8">
              <w:rPr>
                <w:rFonts w:eastAsia="Times New Roman" w:cs="Times New Roman"/>
                <w:spacing w:val="-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>proiectul</w:t>
            </w:r>
            <w:r w:rsidRPr="002166F8">
              <w:rPr>
                <w:rFonts w:eastAsia="Times New Roman" w:cs="Times New Roman"/>
                <w:spacing w:val="-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>actului</w:t>
            </w:r>
            <w:r w:rsidRPr="002166F8">
              <w:rPr>
                <w:rFonts w:eastAsia="Times New Roman" w:cs="Times New Roman"/>
                <w:spacing w:val="-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normativ</w:t>
            </w:r>
            <w:r w:rsidRPr="002166F8">
              <w:rPr>
                <w:rFonts w:eastAsia="Times New Roman" w:cs="Times New Roman"/>
                <w:spacing w:val="-1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</w:t>
            </w:r>
            <w:r w:rsidRPr="002166F8">
              <w:rPr>
                <w:rFonts w:eastAsia="Times New Roman" w:cs="Times New Roman"/>
                <w:spacing w:val="-1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instituie</w:t>
            </w:r>
            <w:r w:rsidRPr="002166F8">
              <w:rPr>
                <w:rFonts w:eastAsia="Times New Roman" w:cs="Times New Roman"/>
                <w:spacing w:val="-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o</w:t>
            </w:r>
            <w:r w:rsidRPr="002166F8">
              <w:rPr>
                <w:rFonts w:eastAsia="Times New Roman" w:cs="Times New Roman"/>
                <w:spacing w:val="-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normă</w:t>
            </w:r>
            <w:r w:rsidRPr="002166F8">
              <w:rPr>
                <w:rFonts w:eastAsia="Times New Roman" w:cs="Times New Roman"/>
                <w:spacing w:val="-1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primară</w:t>
            </w:r>
            <w:r w:rsidRPr="002166F8">
              <w:rPr>
                <w:rFonts w:eastAsia="Times New Roman" w:cs="Times New Roman"/>
                <w:spacing w:val="-1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care</w:t>
            </w:r>
            <w:r w:rsidRPr="002166F8">
              <w:rPr>
                <w:rFonts w:eastAsia="Times New Roman" w:cs="Times New Roman"/>
                <w:spacing w:val="-1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va</w:t>
            </w:r>
            <w:r w:rsidRPr="002166F8">
              <w:rPr>
                <w:rFonts w:eastAsia="Times New Roman" w:cs="Times New Roman"/>
                <w:spacing w:val="-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</w:t>
            </w:r>
            <w:r w:rsidRPr="002166F8">
              <w:rPr>
                <w:rFonts w:eastAsia="Times New Roman" w:cs="Times New Roman"/>
                <w:spacing w:val="-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-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baza</w:t>
            </w:r>
            <w:r w:rsidRPr="002166F8">
              <w:rPr>
                <w:rFonts w:eastAsia="Times New Roman" w:cs="Times New Roman"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Hotărârii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Guvern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prin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care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urmează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stabilite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criteriile,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specificațiile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tehnice,</w:t>
            </w:r>
            <w:r w:rsidRPr="002166F8">
              <w:rPr>
                <w:rFonts w:eastAsia="Times New Roman" w:cs="Times New Roman"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standardele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procedurile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minime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pentru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nivelurile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asigurare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scăzut,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substanțial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 ridicat pentru mijloacele de identificare electronica, care va constitui în sine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transpunerea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propriu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zisă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legislației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UE,</w:t>
            </w:r>
            <w:r w:rsidRPr="002166F8">
              <w:rPr>
                <w:rFonts w:eastAsia="Times New Roman" w:cs="Times New Roman"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anume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Regulamentului</w:t>
            </w:r>
            <w:r w:rsidRPr="002166F8">
              <w:rPr>
                <w:rFonts w:eastAsia="Times New Roman" w:cs="Times New Roman"/>
                <w:i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de</w:t>
            </w:r>
            <w:r w:rsidRPr="002166F8">
              <w:rPr>
                <w:rFonts w:eastAsia="Times New Roman" w:cs="Times New Roman"/>
                <w:i/>
                <w:spacing w:val="-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punere</w:t>
            </w:r>
            <w:r w:rsidRPr="002166F8">
              <w:rPr>
                <w:rFonts w:eastAsia="Times New Roman" w:cs="Times New Roman"/>
                <w:i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în</w:t>
            </w:r>
            <w:r w:rsidRPr="002166F8">
              <w:rPr>
                <w:rFonts w:eastAsia="Times New Roman" w:cs="Times New Roman"/>
                <w:i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aplicare (UE) 2015/1502 al Comisiei din 8 septembrie 2015 de stabilire a unor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specificații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și</w:t>
            </w:r>
            <w:r w:rsidRPr="002166F8">
              <w:rPr>
                <w:rFonts w:eastAsia="Times New Roman" w:cs="Times New Roman"/>
                <w:i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proceduri</w:t>
            </w:r>
            <w:r w:rsidRPr="002166F8">
              <w:rPr>
                <w:rFonts w:eastAsia="Times New Roman" w:cs="Times New Roman"/>
                <w:i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tehnice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minime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pentru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nivelurile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de</w:t>
            </w:r>
            <w:r w:rsidRPr="002166F8">
              <w:rPr>
                <w:rFonts w:eastAsia="Times New Roman" w:cs="Times New Roman"/>
                <w:i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asigurare</w:t>
            </w:r>
            <w:r w:rsidRPr="002166F8">
              <w:rPr>
                <w:rFonts w:eastAsia="Times New Roman" w:cs="Times New Roman"/>
                <w:i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încrederii</w:t>
            </w:r>
            <w:r w:rsidRPr="002166F8">
              <w:rPr>
                <w:rFonts w:eastAsia="Times New Roman" w:cs="Times New Roman"/>
                <w:i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ale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mijloacelor</w:t>
            </w:r>
            <w:r w:rsidRPr="002166F8">
              <w:rPr>
                <w:rFonts w:eastAsia="Times New Roman" w:cs="Times New Roman"/>
                <w:i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de</w:t>
            </w:r>
            <w:r w:rsidRPr="002166F8">
              <w:rPr>
                <w:rFonts w:eastAsia="Times New Roman" w:cs="Times New Roman"/>
                <w:i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identificare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electronică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în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temeiul</w:t>
            </w:r>
            <w:r w:rsidRPr="002166F8">
              <w:rPr>
                <w:rFonts w:eastAsia="Times New Roman" w:cs="Times New Roman"/>
                <w:i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articolului</w:t>
            </w:r>
            <w:r w:rsidRPr="002166F8">
              <w:rPr>
                <w:rFonts w:eastAsia="Times New Roman" w:cs="Times New Roman"/>
                <w:i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8</w:t>
            </w:r>
            <w:r w:rsidRPr="002166F8">
              <w:rPr>
                <w:rFonts w:eastAsia="Times New Roman" w:cs="Times New Roman"/>
                <w:i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alineatul</w:t>
            </w:r>
            <w:r w:rsidRPr="002166F8">
              <w:rPr>
                <w:rFonts w:eastAsia="Times New Roman" w:cs="Times New Roman"/>
                <w:i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(3)</w:t>
            </w:r>
            <w:r w:rsidRPr="002166F8">
              <w:rPr>
                <w:rFonts w:eastAsia="Times New Roman" w:cs="Times New Roman"/>
                <w:i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din</w:t>
            </w:r>
            <w:r w:rsidRPr="002166F8">
              <w:rPr>
                <w:rFonts w:eastAsia="Times New Roman" w:cs="Times New Roman"/>
                <w:i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Regulamentul</w:t>
            </w:r>
            <w:r w:rsidRPr="002166F8">
              <w:rPr>
                <w:rFonts w:eastAsia="Times New Roman" w:cs="Times New Roman"/>
                <w:i/>
                <w:spacing w:val="5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(UE)</w:t>
            </w:r>
            <w:r w:rsidRPr="002166F8">
              <w:rPr>
                <w:rFonts w:eastAsia="Times New Roman" w:cs="Times New Roman"/>
                <w:i/>
                <w:spacing w:val="5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nr.</w:t>
            </w:r>
            <w:r w:rsidRPr="002166F8">
              <w:rPr>
                <w:rFonts w:eastAsia="Times New Roman" w:cs="Times New Roman"/>
                <w:i/>
                <w:spacing w:val="5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910/2014</w:t>
            </w:r>
            <w:r w:rsidRPr="002166F8">
              <w:rPr>
                <w:rFonts w:eastAsia="Times New Roman" w:cs="Times New Roman"/>
                <w:i/>
                <w:spacing w:val="5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al</w:t>
            </w:r>
            <w:r w:rsidRPr="002166F8">
              <w:rPr>
                <w:rFonts w:eastAsia="Times New Roman" w:cs="Times New Roman"/>
                <w:i/>
                <w:spacing w:val="5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Parlamentului</w:t>
            </w:r>
            <w:r w:rsidRPr="002166F8">
              <w:rPr>
                <w:rFonts w:eastAsia="Times New Roman" w:cs="Times New Roman"/>
                <w:i/>
                <w:spacing w:val="5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European</w:t>
            </w:r>
            <w:r w:rsidRPr="002166F8">
              <w:rPr>
                <w:rFonts w:eastAsia="Times New Roman" w:cs="Times New Roman"/>
                <w:i/>
                <w:spacing w:val="5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și</w:t>
            </w:r>
            <w:r w:rsidRPr="002166F8">
              <w:rPr>
                <w:rFonts w:eastAsia="Times New Roman" w:cs="Times New Roman"/>
                <w:i/>
                <w:spacing w:val="5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al</w:t>
            </w:r>
            <w:r w:rsidRPr="002166F8">
              <w:rPr>
                <w:rFonts w:eastAsia="Times New Roman" w:cs="Times New Roman"/>
                <w:i/>
                <w:spacing w:val="5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Consiliului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 w:right="104"/>
              <w:jc w:val="both"/>
              <w:rPr>
                <w:rFonts w:eastAsia="Times New Roman" w:cs="Times New Roman"/>
                <w:i/>
                <w:lang w:val="ro-RO"/>
              </w:rPr>
            </w:pPr>
            <w:r w:rsidRPr="002166F8">
              <w:rPr>
                <w:rFonts w:eastAsia="Times New Roman" w:cs="Times New Roman"/>
                <w:i/>
                <w:lang w:val="ro-RO"/>
              </w:rPr>
              <w:t>privind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identificarea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electronică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și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serviciile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de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pentru</w:t>
            </w:r>
            <w:r w:rsidRPr="002166F8">
              <w:rPr>
                <w:rFonts w:eastAsia="Times New Roman" w:cs="Times New Roman"/>
                <w:i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tranzacțiile</w:t>
            </w:r>
            <w:r w:rsidRPr="002166F8">
              <w:rPr>
                <w:rFonts w:eastAsia="Times New Roman" w:cs="Times New Roman"/>
                <w:i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electronice</w:t>
            </w:r>
            <w:r w:rsidRPr="002166F8">
              <w:rPr>
                <w:rFonts w:eastAsia="Times New Roman" w:cs="Times New Roman"/>
                <w:i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pe</w:t>
            </w:r>
            <w:r w:rsidRPr="002166F8">
              <w:rPr>
                <w:rFonts w:eastAsia="Times New Roman" w:cs="Times New Roman"/>
                <w:i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piața</w:t>
            </w:r>
            <w:r w:rsidRPr="002166F8">
              <w:rPr>
                <w:rFonts w:eastAsia="Times New Roman" w:cs="Times New Roman"/>
                <w:i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i/>
                <w:lang w:val="ro-RO"/>
              </w:rPr>
              <w:t>internă.</w:t>
            </w:r>
          </w:p>
        </w:tc>
      </w:tr>
      <w:tr w:rsidR="002166F8" w:rsidRPr="002166F8" w:rsidTr="002166F8">
        <w:trPr>
          <w:trHeight w:val="323"/>
        </w:trPr>
        <w:tc>
          <w:tcPr>
            <w:tcW w:w="9369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4.</w:t>
            </w:r>
            <w:r w:rsidRPr="002166F8">
              <w:rPr>
                <w:rFonts w:eastAsia="Times New Roman" w:cs="Times New Roman"/>
                <w:b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Principalele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prevederi</w:t>
            </w:r>
            <w:r w:rsidRPr="002166F8">
              <w:rPr>
                <w:rFonts w:eastAsia="Times New Roman" w:cs="Times New Roman"/>
                <w:b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ale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proiectului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şi</w:t>
            </w:r>
            <w:r w:rsidRPr="002166F8">
              <w:rPr>
                <w:rFonts w:eastAsia="Times New Roman" w:cs="Times New Roman"/>
                <w:b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evidenţierea</w:t>
            </w:r>
            <w:r w:rsidRPr="002166F8">
              <w:rPr>
                <w:rFonts w:eastAsia="Times New Roman" w:cs="Times New Roman"/>
                <w:b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elementelor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noi</w:t>
            </w:r>
          </w:p>
        </w:tc>
      </w:tr>
      <w:tr w:rsidR="002166F8" w:rsidRPr="002166F8" w:rsidTr="00245846">
        <w:trPr>
          <w:trHeight w:val="3540"/>
        </w:trPr>
        <w:tc>
          <w:tcPr>
            <w:tcW w:w="9369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 w:right="140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5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moment,</w:t>
            </w:r>
            <w:r w:rsidRPr="002166F8">
              <w:rPr>
                <w:rFonts w:eastAsia="Times New Roman" w:cs="Times New Roman"/>
                <w:spacing w:val="4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condițiile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autorizare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5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prestatorilor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5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4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 xml:space="preserve">pe teritoriul Republicii Moldova este identic pentru toți solicitanții, inclusiv pentru 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   </w:t>
            </w:r>
            <w:r w:rsidRPr="002166F8">
              <w:rPr>
                <w:rFonts w:eastAsia="Times New Roman" w:cs="Times New Roman"/>
                <w:lang w:val="ro-RO"/>
              </w:rPr>
              <w:t>cei care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sunt deja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recunoscuți ca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fiind calificați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 nivel european.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1" w:lineRule="exact"/>
              <w:ind w:left="107" w:right="140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Astfel,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proiectul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prevede:</w:t>
            </w:r>
          </w:p>
          <w:p w:rsidR="002166F8" w:rsidRPr="002166F8" w:rsidRDefault="002166F8" w:rsidP="002166F8">
            <w:pPr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spacing w:after="0"/>
              <w:ind w:left="149" w:right="140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instituirea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unui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mecanism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nou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autorizare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teritoriul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Republicii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Moldova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prestatorilor</w:t>
            </w:r>
            <w:r w:rsidRPr="002166F8">
              <w:rPr>
                <w:rFonts w:eastAsia="Times New Roman" w:cs="Times New Roman"/>
                <w:spacing w:val="-1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-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calificați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-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nivel</w:t>
            </w:r>
            <w:r w:rsidRPr="002166F8">
              <w:rPr>
                <w:rFonts w:eastAsia="Times New Roman" w:cs="Times New Roman"/>
                <w:spacing w:val="-6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UE;</w:t>
            </w:r>
          </w:p>
          <w:p w:rsidR="002166F8" w:rsidRPr="002166F8" w:rsidRDefault="002166F8" w:rsidP="002166F8">
            <w:pPr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spacing w:before="1" w:after="0"/>
              <w:ind w:left="149" w:right="140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implementarea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organizării</w:t>
            </w:r>
            <w:r w:rsidRPr="002166F8">
              <w:rPr>
                <w:rFonts w:eastAsia="Times New Roman" w:cs="Times New Roman"/>
                <w:spacing w:val="1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către</w:t>
            </w:r>
            <w:r w:rsidRPr="002166F8">
              <w:rPr>
                <w:rFonts w:eastAsia="Times New Roman" w:cs="Times New Roman"/>
                <w:spacing w:val="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prestatorii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 xml:space="preserve">de 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6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auditului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 conformitate;</w:t>
            </w:r>
          </w:p>
          <w:p w:rsidR="002166F8" w:rsidRPr="002166F8" w:rsidRDefault="002166F8" w:rsidP="002166F8">
            <w:pPr>
              <w:widowControl w:val="0"/>
              <w:numPr>
                <w:ilvl w:val="0"/>
                <w:numId w:val="1"/>
              </w:numPr>
              <w:tabs>
                <w:tab w:val="left" w:pos="432"/>
                <w:tab w:val="left" w:pos="3726"/>
                <w:tab w:val="left" w:pos="5103"/>
                <w:tab w:val="left" w:pos="5613"/>
                <w:tab w:val="left" w:pos="6990"/>
                <w:tab w:val="left" w:pos="7357"/>
                <w:tab w:val="left" w:pos="8146"/>
                <w:tab w:val="left" w:pos="9216"/>
              </w:tabs>
              <w:autoSpaceDE w:val="0"/>
              <w:autoSpaceDN w:val="0"/>
              <w:spacing w:after="0" w:line="322" w:lineRule="exact"/>
              <w:ind w:left="159" w:right="140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 xml:space="preserve">excluderea necesității de certificare a cheii publice 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   </w:t>
            </w:r>
            <w:r w:rsidRPr="002166F8">
              <w:rPr>
                <w:rFonts w:eastAsia="Times New Roman" w:cs="Times New Roman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 </w:t>
            </w:r>
            <w:r w:rsidRPr="002166F8">
              <w:rPr>
                <w:rFonts w:eastAsia="Times New Roman" w:cs="Times New Roman"/>
                <w:lang w:val="ro-RO"/>
              </w:rPr>
              <w:t>prestatorilor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 încredere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calificate.</w:t>
            </w:r>
          </w:p>
          <w:p w:rsidR="002166F8" w:rsidRPr="002166F8" w:rsidRDefault="002166F8" w:rsidP="002166F8">
            <w:pPr>
              <w:widowControl w:val="0"/>
              <w:tabs>
                <w:tab w:val="left" w:pos="432"/>
                <w:tab w:val="left" w:pos="3726"/>
                <w:tab w:val="left" w:pos="5103"/>
                <w:tab w:val="left" w:pos="5613"/>
                <w:tab w:val="left" w:pos="6990"/>
                <w:tab w:val="left" w:pos="7357"/>
                <w:tab w:val="left" w:pos="8146"/>
                <w:tab w:val="left" w:pos="9216"/>
              </w:tabs>
              <w:autoSpaceDE w:val="0"/>
              <w:autoSpaceDN w:val="0"/>
              <w:spacing w:after="0" w:line="322" w:lineRule="exact"/>
              <w:ind w:left="149" w:right="100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Totodată, Legea se completează cu pct.5</w:t>
            </w:r>
            <w:r w:rsidRPr="002166F8">
              <w:rPr>
                <w:rFonts w:eastAsia="Times New Roman" w:cs="Times New Roman"/>
                <w:vertAlign w:val="superscript"/>
                <w:lang w:val="ro-RO"/>
              </w:rPr>
              <w:t xml:space="preserve">1 </w:t>
            </w:r>
            <w:r w:rsidRPr="002166F8">
              <w:rPr>
                <w:rFonts w:eastAsia="Times New Roman" w:cs="Times New Roman"/>
                <w:lang w:val="ro-RO"/>
              </w:rPr>
              <w:t>ce descrie nivelul de asigurare a mijloacelor de identificare electronică, precum și organul care va verifica conformitatea mijloacelor de identificare electronică.</w:t>
            </w:r>
          </w:p>
        </w:tc>
      </w:tr>
      <w:tr w:rsidR="002166F8" w:rsidRPr="002166F8" w:rsidTr="002166F8">
        <w:trPr>
          <w:trHeight w:val="323"/>
        </w:trPr>
        <w:tc>
          <w:tcPr>
            <w:tcW w:w="9369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5.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Fundamentarea</w:t>
            </w:r>
            <w:r w:rsidRPr="002166F8">
              <w:rPr>
                <w:rFonts w:eastAsia="Times New Roman" w:cs="Times New Roman"/>
                <w:b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economico-financiară</w:t>
            </w:r>
          </w:p>
        </w:tc>
      </w:tr>
      <w:tr w:rsidR="002166F8" w:rsidRPr="002166F8" w:rsidTr="00245846">
        <w:trPr>
          <w:trHeight w:val="965"/>
        </w:trPr>
        <w:tc>
          <w:tcPr>
            <w:tcW w:w="9369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Punerea</w:t>
            </w:r>
            <w:r w:rsidRPr="002166F8">
              <w:rPr>
                <w:rFonts w:eastAsia="Times New Roman" w:cs="Times New Roman"/>
                <w:spacing w:val="2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3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aplicare</w:t>
            </w:r>
            <w:r w:rsidRPr="002166F8">
              <w:rPr>
                <w:rFonts w:eastAsia="Times New Roman" w:cs="Times New Roman"/>
                <w:spacing w:val="3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2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legii</w:t>
            </w:r>
            <w:r w:rsidRPr="002166F8">
              <w:rPr>
                <w:rFonts w:eastAsia="Times New Roman" w:cs="Times New Roman"/>
                <w:spacing w:val="2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nu</w:t>
            </w:r>
            <w:r w:rsidRPr="002166F8">
              <w:rPr>
                <w:rFonts w:eastAsia="Times New Roman" w:cs="Times New Roman"/>
                <w:spacing w:val="3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va</w:t>
            </w:r>
            <w:r w:rsidRPr="002166F8">
              <w:rPr>
                <w:rFonts w:eastAsia="Times New Roman" w:cs="Times New Roman"/>
                <w:spacing w:val="2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determina</w:t>
            </w:r>
            <w:r w:rsidRPr="002166F8">
              <w:rPr>
                <w:rFonts w:eastAsia="Times New Roman" w:cs="Times New Roman"/>
                <w:spacing w:val="3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cheltuieli</w:t>
            </w:r>
            <w:r w:rsidRPr="002166F8">
              <w:rPr>
                <w:rFonts w:eastAsia="Times New Roman" w:cs="Times New Roman"/>
                <w:spacing w:val="2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bugetare</w:t>
            </w:r>
            <w:r w:rsidRPr="002166F8">
              <w:rPr>
                <w:rFonts w:eastAsia="Times New Roman" w:cs="Times New Roman"/>
                <w:spacing w:val="2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suplimentare,</w:t>
            </w:r>
            <w:r w:rsidRPr="002166F8">
              <w:rPr>
                <w:rFonts w:eastAsia="Times New Roman" w:cs="Times New Roman"/>
                <w:spacing w:val="2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iar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implementarea</w:t>
            </w:r>
            <w:r w:rsidRPr="002166F8">
              <w:rPr>
                <w:rFonts w:eastAsia="Times New Roman" w:cs="Times New Roman"/>
                <w:spacing w:val="3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tehnică</w:t>
            </w:r>
            <w:r w:rsidRPr="002166F8">
              <w:rPr>
                <w:rFonts w:eastAsia="Times New Roman" w:cs="Times New Roman"/>
                <w:spacing w:val="3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3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noilor</w:t>
            </w:r>
            <w:r w:rsidRPr="002166F8">
              <w:rPr>
                <w:rFonts w:eastAsia="Times New Roman" w:cs="Times New Roman"/>
                <w:spacing w:val="3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</w:t>
            </w:r>
            <w:r w:rsidRPr="002166F8">
              <w:rPr>
                <w:rFonts w:eastAsia="Times New Roman" w:cs="Times New Roman"/>
                <w:spacing w:val="3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electronice</w:t>
            </w:r>
            <w:r w:rsidRPr="002166F8">
              <w:rPr>
                <w:rFonts w:eastAsia="Times New Roman" w:cs="Times New Roman"/>
                <w:spacing w:val="3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3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3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este</w:t>
            </w:r>
            <w:r w:rsidRPr="002166F8">
              <w:rPr>
                <w:rFonts w:eastAsia="Times New Roman" w:cs="Times New Roman"/>
                <w:spacing w:val="3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posibilă</w:t>
            </w:r>
            <w:r w:rsidRPr="002166F8">
              <w:rPr>
                <w:rFonts w:eastAsia="Times New Roman" w:cs="Times New Roman"/>
                <w:spacing w:val="3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cadrul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infrastructurii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cheilor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publice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deja existente.</w:t>
            </w:r>
          </w:p>
        </w:tc>
      </w:tr>
      <w:tr w:rsidR="002166F8" w:rsidRPr="002166F8" w:rsidTr="002166F8">
        <w:trPr>
          <w:trHeight w:val="323"/>
        </w:trPr>
        <w:tc>
          <w:tcPr>
            <w:tcW w:w="9369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6.</w:t>
            </w:r>
            <w:r w:rsidRPr="002166F8">
              <w:rPr>
                <w:rFonts w:eastAsia="Times New Roman" w:cs="Times New Roman"/>
                <w:b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Modul de</w:t>
            </w:r>
            <w:r w:rsidRPr="002166F8">
              <w:rPr>
                <w:rFonts w:eastAsia="Times New Roman" w:cs="Times New Roman"/>
                <w:b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încorporare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actului în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cadrul normativ în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vigoare</w:t>
            </w:r>
          </w:p>
        </w:tc>
      </w:tr>
      <w:tr w:rsidR="002166F8" w:rsidRPr="002166F8" w:rsidTr="00245846">
        <w:trPr>
          <w:trHeight w:val="964"/>
        </w:trPr>
        <w:tc>
          <w:tcPr>
            <w:tcW w:w="9369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Actul</w:t>
            </w:r>
            <w:r w:rsidRPr="002166F8">
              <w:rPr>
                <w:rFonts w:eastAsia="Times New Roman" w:cs="Times New Roman"/>
                <w:spacing w:val="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prevede</w:t>
            </w:r>
            <w:r w:rsidRPr="002166F8">
              <w:rPr>
                <w:rFonts w:eastAsia="Times New Roman" w:cs="Times New Roman"/>
                <w:spacing w:val="1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modificarea</w:t>
            </w:r>
            <w:r w:rsidRPr="002166F8">
              <w:rPr>
                <w:rFonts w:eastAsia="Times New Roman" w:cs="Times New Roman"/>
                <w:spacing w:val="1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Legii</w:t>
            </w:r>
            <w:r w:rsidRPr="002166F8">
              <w:rPr>
                <w:rFonts w:eastAsia="Times New Roman" w:cs="Times New Roman"/>
                <w:spacing w:val="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nr.</w:t>
            </w:r>
            <w:r w:rsidRPr="002166F8">
              <w:rPr>
                <w:rFonts w:eastAsia="Times New Roman" w:cs="Times New Roman"/>
                <w:spacing w:val="1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124/2022</w:t>
            </w:r>
            <w:r w:rsidRPr="002166F8">
              <w:rPr>
                <w:rFonts w:eastAsia="Times New Roman" w:cs="Times New Roman"/>
                <w:spacing w:val="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privind</w:t>
            </w:r>
            <w:r w:rsidRPr="002166F8">
              <w:rPr>
                <w:rFonts w:eastAsia="Times New Roman" w:cs="Times New Roman"/>
                <w:spacing w:val="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identificarea</w:t>
            </w:r>
            <w:r w:rsidRPr="002166F8">
              <w:rPr>
                <w:rFonts w:eastAsia="Times New Roman" w:cs="Times New Roman"/>
                <w:spacing w:val="1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electronică</w:t>
            </w:r>
            <w:r w:rsidRPr="002166F8">
              <w:rPr>
                <w:rFonts w:eastAsia="Times New Roman" w:cs="Times New Roman"/>
                <w:spacing w:val="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 w:right="74"/>
              <w:jc w:val="both"/>
              <w:rPr>
                <w:rFonts w:eastAsia="Times New Roman" w:cs="Times New Roman"/>
                <w:spacing w:val="-67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serviciile</w:t>
            </w:r>
            <w:r w:rsidRPr="002166F8">
              <w:rPr>
                <w:rFonts w:eastAsia="Times New Roman" w:cs="Times New Roman"/>
                <w:spacing w:val="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încredere, precum</w:t>
            </w:r>
            <w:r w:rsidRPr="002166F8">
              <w:rPr>
                <w:rFonts w:eastAsia="Times New Roman" w:cs="Times New Roman"/>
                <w:spacing w:val="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necesitatea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revizuirii</w:t>
            </w:r>
            <w:r w:rsidRPr="002166F8">
              <w:rPr>
                <w:rFonts w:eastAsia="Times New Roman" w:cs="Times New Roman"/>
                <w:spacing w:val="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către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Guvernul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Republicii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     </w:t>
            </w:r>
            <w:r w:rsidRPr="002166F8">
              <w:rPr>
                <w:rFonts w:eastAsia="Times New Roman" w:cs="Times New Roman"/>
                <w:lang w:val="ro-RO"/>
              </w:rPr>
              <w:t>Moldova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actelor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normative,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pentru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aducerea lor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 concordanță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legea.</w:t>
            </w:r>
          </w:p>
        </w:tc>
      </w:tr>
    </w:tbl>
    <w:p w:rsidR="002166F8" w:rsidRPr="002166F8" w:rsidRDefault="002166F8" w:rsidP="002166F8">
      <w:pPr>
        <w:widowControl w:val="0"/>
        <w:autoSpaceDE w:val="0"/>
        <w:autoSpaceDN w:val="0"/>
        <w:spacing w:after="0" w:line="322" w:lineRule="exact"/>
        <w:rPr>
          <w:rFonts w:eastAsia="Times New Roman" w:cs="Times New Roman"/>
          <w:lang w:val="ro-RO"/>
        </w:rPr>
        <w:sectPr w:rsidR="002166F8" w:rsidRPr="002166F8">
          <w:pgSz w:w="12240" w:h="15840"/>
          <w:pgMar w:top="860" w:right="840" w:bottom="620" w:left="1700" w:header="0" w:footer="436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3"/>
      </w:tblGrid>
      <w:tr w:rsidR="002166F8" w:rsidRPr="002166F8" w:rsidTr="00245846">
        <w:trPr>
          <w:trHeight w:val="964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lastRenderedPageBreak/>
              <w:t>Astfel,</w:t>
            </w:r>
            <w:r w:rsidRPr="002166F8">
              <w:rPr>
                <w:rFonts w:eastAsia="Times New Roman" w:cs="Times New Roman"/>
                <w:spacing w:val="1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după</w:t>
            </w:r>
            <w:r w:rsidRPr="002166F8">
              <w:rPr>
                <w:rFonts w:eastAsia="Times New Roman" w:cs="Times New Roman"/>
                <w:spacing w:val="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aprobarea</w:t>
            </w:r>
            <w:r w:rsidRPr="002166F8">
              <w:rPr>
                <w:rFonts w:eastAsia="Times New Roman" w:cs="Times New Roman"/>
                <w:spacing w:val="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proiectului</w:t>
            </w:r>
            <w:r w:rsidRPr="002166F8">
              <w:rPr>
                <w:rFonts w:eastAsia="Times New Roman" w:cs="Times New Roman"/>
                <w:spacing w:val="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urmează</w:t>
            </w:r>
            <w:r w:rsidRPr="002166F8">
              <w:rPr>
                <w:rFonts w:eastAsia="Times New Roman" w:cs="Times New Roman"/>
                <w:spacing w:val="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1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</w:t>
            </w:r>
            <w:r w:rsidRPr="002166F8">
              <w:rPr>
                <w:rFonts w:eastAsia="Times New Roman" w:cs="Times New Roman"/>
                <w:spacing w:val="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modificată</w:t>
            </w:r>
            <w:r w:rsidRPr="002166F8">
              <w:rPr>
                <w:rFonts w:eastAsia="Times New Roman" w:cs="Times New Roman"/>
                <w:spacing w:val="1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Hotărârea</w:t>
            </w:r>
            <w:r w:rsidRPr="002166F8">
              <w:rPr>
                <w:rFonts w:eastAsia="Times New Roman" w:cs="Times New Roman"/>
                <w:spacing w:val="1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Guvernului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nr.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184/2023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pentru</w:t>
            </w:r>
            <w:r w:rsidRPr="002166F8">
              <w:rPr>
                <w:rFonts w:eastAsia="Times New Roman" w:cs="Times New Roman"/>
                <w:spacing w:val="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aprobarea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Regulamentului</w:t>
            </w:r>
            <w:r w:rsidRPr="002166F8">
              <w:rPr>
                <w:rFonts w:eastAsia="Times New Roman" w:cs="Times New Roman"/>
                <w:spacing w:val="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privind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activitatea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prestatorilor</w:t>
            </w:r>
            <w:r w:rsidRPr="002166F8">
              <w:rPr>
                <w:rFonts w:eastAsia="Times New Roman" w:cs="Times New Roman"/>
                <w:spacing w:val="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servicii de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încredere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calificați.</w:t>
            </w:r>
          </w:p>
        </w:tc>
      </w:tr>
      <w:tr w:rsidR="002166F8" w:rsidRPr="002166F8" w:rsidTr="002166F8">
        <w:trPr>
          <w:trHeight w:val="323"/>
        </w:trPr>
        <w:tc>
          <w:tcPr>
            <w:tcW w:w="9453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7.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Avizarea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şi</w:t>
            </w:r>
            <w:r w:rsidRPr="002166F8">
              <w:rPr>
                <w:rFonts w:eastAsia="Times New Roman" w:cs="Times New Roman"/>
                <w:b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consultarea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publică</w:t>
            </w:r>
            <w:r w:rsidRPr="002166F8">
              <w:rPr>
                <w:rFonts w:eastAsia="Times New Roman" w:cs="Times New Roman"/>
                <w:b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</w:t>
            </w:r>
            <w:r w:rsidRPr="002166F8">
              <w:rPr>
                <w:rFonts w:eastAsia="Times New Roman" w:cs="Times New Roman"/>
                <w:b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proiectului</w:t>
            </w:r>
          </w:p>
        </w:tc>
      </w:tr>
      <w:tr w:rsidR="002166F8" w:rsidRPr="002166F8" w:rsidTr="00245846">
        <w:trPr>
          <w:trHeight w:val="2084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before="97" w:after="0"/>
              <w:ind w:left="149" w:right="73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În conformitate cu procedurile stabilite pentru transparența în procesul decizional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şi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 vederea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elaborării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actelor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normative,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Anunțul pentru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inițierea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elaborării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proiectului de act normativ este plasat pe pagina web oficială a Ministerului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Dezvoltării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Economice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Digitalizării,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rubrica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Transparența/Anunțuri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privind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consultările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publice,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precum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şi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portalul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 xml:space="preserve">guvernamental particip.gov.md. </w:t>
            </w:r>
            <w:hyperlink r:id="rId5" w:tgtFrame="_blank" w:history="1">
              <w:r w:rsidRPr="002166F8">
                <w:rPr>
                  <w:rFonts w:eastAsia="Times New Roman" w:cs="Times New Roman"/>
                  <w:color w:val="0563C1"/>
                  <w:u w:val="single"/>
                  <w:lang w:val="ro-RO"/>
                </w:rPr>
                <w:t>https://particip.gov.md/ro/document/stages/*/12221</w:t>
              </w:r>
            </w:hyperlink>
            <w:r w:rsidRPr="002166F8">
              <w:rPr>
                <w:rFonts w:eastAsia="Times New Roman" w:cs="Times New Roman"/>
                <w:lang w:val="ro-RO"/>
              </w:rPr>
              <w:t>.</w:t>
            </w:r>
          </w:p>
        </w:tc>
      </w:tr>
      <w:tr w:rsidR="002166F8" w:rsidRPr="002166F8" w:rsidTr="002166F8">
        <w:trPr>
          <w:trHeight w:val="321"/>
        </w:trPr>
        <w:tc>
          <w:tcPr>
            <w:tcW w:w="9453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8.</w:t>
            </w:r>
            <w:r w:rsidRPr="002166F8">
              <w:rPr>
                <w:rFonts w:eastAsia="Times New Roman" w:cs="Times New Roman"/>
                <w:b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Constatările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expertizei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anticorupţie</w:t>
            </w:r>
          </w:p>
        </w:tc>
      </w:tr>
      <w:tr w:rsidR="002166F8" w:rsidRPr="002166F8" w:rsidTr="00245846">
        <w:trPr>
          <w:trHeight w:val="967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 w:right="84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Expertiza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anticorupție,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urmează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efectuată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conformitate</w:t>
            </w:r>
            <w:r w:rsidRPr="002166F8">
              <w:rPr>
                <w:rFonts w:eastAsia="Times New Roman" w:cs="Times New Roman"/>
                <w:spacing w:val="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art.</w:t>
            </w:r>
            <w:r w:rsidRPr="002166F8">
              <w:rPr>
                <w:rFonts w:eastAsia="Times New Roman" w:cs="Times New Roman"/>
                <w:spacing w:val="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35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</w:t>
            </w:r>
            <w:r w:rsidRPr="002166F8">
              <w:rPr>
                <w:rFonts w:eastAsia="Times New Roman" w:cs="Times New Roman"/>
                <w:spacing w:val="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Legea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 w:right="84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nr.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100/2017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privire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actele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normative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va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luată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considerație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ulterior,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etapa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definitivări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proiectului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pentru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promovarea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cadrul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ședinței de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Guvern.</w:t>
            </w:r>
          </w:p>
        </w:tc>
      </w:tr>
      <w:tr w:rsidR="002166F8" w:rsidRPr="002166F8" w:rsidTr="002166F8">
        <w:trPr>
          <w:trHeight w:val="321"/>
        </w:trPr>
        <w:tc>
          <w:tcPr>
            <w:tcW w:w="9453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9.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Constatările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expertizei</w:t>
            </w:r>
            <w:r w:rsidRPr="002166F8">
              <w:rPr>
                <w:rFonts w:eastAsia="Times New Roman" w:cs="Times New Roman"/>
                <w:b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de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compatibilitate</w:t>
            </w:r>
          </w:p>
        </w:tc>
      </w:tr>
      <w:tr w:rsidR="002166F8" w:rsidRPr="002166F8" w:rsidTr="00245846">
        <w:trPr>
          <w:trHeight w:val="1288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Proiectul</w:t>
            </w:r>
            <w:r w:rsidRPr="002166F8">
              <w:rPr>
                <w:rFonts w:eastAsia="Times New Roman" w:cs="Times New Roman"/>
                <w:spacing w:val="2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actului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nu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are</w:t>
            </w:r>
            <w:r w:rsidRPr="002166F8">
              <w:rPr>
                <w:rFonts w:eastAsia="Times New Roman" w:cs="Times New Roman"/>
                <w:spacing w:val="2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drept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scop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armonizarea</w:t>
            </w:r>
            <w:r w:rsidRPr="002166F8">
              <w:rPr>
                <w:rFonts w:eastAsia="Times New Roman" w:cs="Times New Roman"/>
                <w:spacing w:val="2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legislației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naționale</w:t>
            </w:r>
            <w:r w:rsidRPr="002166F8">
              <w:rPr>
                <w:rFonts w:eastAsia="Times New Roman" w:cs="Times New Roman"/>
                <w:spacing w:val="2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legislația</w:t>
            </w:r>
          </w:p>
          <w:p w:rsidR="002166F8" w:rsidRPr="002166F8" w:rsidRDefault="002166F8" w:rsidP="002166F8">
            <w:pPr>
              <w:widowControl w:val="0"/>
              <w:tabs>
                <w:tab w:val="left" w:pos="1224"/>
                <w:tab w:val="left" w:pos="2622"/>
                <w:tab w:val="left" w:pos="3965"/>
                <w:tab w:val="left" w:pos="4504"/>
                <w:tab w:val="left" w:pos="5198"/>
                <w:tab w:val="left" w:pos="6298"/>
                <w:tab w:val="left" w:pos="7706"/>
                <w:tab w:val="left" w:pos="9071"/>
              </w:tabs>
              <w:autoSpaceDE w:val="0"/>
              <w:autoSpaceDN w:val="0"/>
              <w:spacing w:after="0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Uniunii</w:t>
            </w:r>
            <w:r w:rsidRPr="002166F8">
              <w:rPr>
                <w:rFonts w:eastAsia="Times New Roman" w:cs="Times New Roman"/>
                <w:lang w:val="ro-RO"/>
              </w:rPr>
              <w:tab/>
              <w:t>Europene,</w:t>
            </w:r>
            <w:r w:rsidRPr="002166F8">
              <w:rPr>
                <w:rFonts w:eastAsia="Times New Roman" w:cs="Times New Roman"/>
                <w:lang w:val="ro-RO"/>
              </w:rPr>
              <w:tab/>
              <w:t>respectiv,</w:t>
            </w:r>
            <w:r w:rsidRPr="002166F8">
              <w:rPr>
                <w:rFonts w:eastAsia="Times New Roman" w:cs="Times New Roman"/>
                <w:lang w:val="ro-RO"/>
              </w:rPr>
              <w:tab/>
              <w:t>nu</w:t>
            </w:r>
            <w:r w:rsidRPr="002166F8">
              <w:rPr>
                <w:rFonts w:eastAsia="Times New Roman" w:cs="Times New Roman"/>
                <w:lang w:val="ro-RO"/>
              </w:rPr>
              <w:tab/>
              <w:t>este</w:t>
            </w:r>
            <w:r w:rsidRPr="002166F8">
              <w:rPr>
                <w:rFonts w:eastAsia="Times New Roman" w:cs="Times New Roman"/>
                <w:lang w:val="ro-RO"/>
              </w:rPr>
              <w:tab/>
              <w:t>necesar</w:t>
            </w:r>
            <w:r w:rsidRPr="002166F8">
              <w:rPr>
                <w:rFonts w:eastAsia="Times New Roman" w:cs="Times New Roman"/>
                <w:lang w:val="ro-RO"/>
              </w:rPr>
              <w:tab/>
              <w:t>efectuarea</w:t>
            </w:r>
            <w:r w:rsidRPr="002166F8">
              <w:rPr>
                <w:rFonts w:eastAsia="Times New Roman" w:cs="Times New Roman"/>
                <w:lang w:val="ro-RO"/>
              </w:rPr>
              <w:tab/>
              <w:t>expertizei</w:t>
            </w:r>
            <w:r w:rsidRPr="002166F8">
              <w:rPr>
                <w:rFonts w:eastAsia="Times New Roman" w:cs="Times New Roman"/>
                <w:lang w:val="ro-RO"/>
              </w:rPr>
              <w:tab/>
              <w:t>de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compatibilitate</w:t>
            </w:r>
            <w:r w:rsidRPr="002166F8">
              <w:rPr>
                <w:rFonts w:eastAsia="Times New Roman" w:cs="Times New Roman"/>
                <w:spacing w:val="4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prevăzută</w:t>
            </w:r>
            <w:r w:rsidRPr="002166F8">
              <w:rPr>
                <w:rFonts w:eastAsia="Times New Roman" w:cs="Times New Roman"/>
                <w:spacing w:val="4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4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art.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36</w:t>
            </w:r>
            <w:r w:rsidRPr="002166F8">
              <w:rPr>
                <w:rFonts w:eastAsia="Times New Roman" w:cs="Times New Roman"/>
                <w:spacing w:val="4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</w:t>
            </w:r>
            <w:r w:rsidRPr="002166F8">
              <w:rPr>
                <w:rFonts w:eastAsia="Times New Roman" w:cs="Times New Roman"/>
                <w:spacing w:val="4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Legea</w:t>
            </w:r>
            <w:r w:rsidRPr="002166F8">
              <w:rPr>
                <w:rFonts w:eastAsia="Times New Roman" w:cs="Times New Roman"/>
                <w:spacing w:val="4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nr. 100/2017</w:t>
            </w:r>
            <w:r w:rsidRPr="002166F8">
              <w:rPr>
                <w:rFonts w:eastAsia="Times New Roman" w:cs="Times New Roman"/>
                <w:spacing w:val="4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4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privire</w:t>
            </w:r>
            <w:r w:rsidRPr="002166F8">
              <w:rPr>
                <w:rFonts w:eastAsia="Times New Roman" w:cs="Times New Roman"/>
                <w:spacing w:val="4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4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actele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normative.</w:t>
            </w:r>
          </w:p>
        </w:tc>
      </w:tr>
      <w:tr w:rsidR="002166F8" w:rsidRPr="002166F8" w:rsidTr="002166F8">
        <w:trPr>
          <w:trHeight w:val="321"/>
        </w:trPr>
        <w:tc>
          <w:tcPr>
            <w:tcW w:w="9453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10.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Constatările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expertizei juridice</w:t>
            </w:r>
          </w:p>
        </w:tc>
      </w:tr>
      <w:tr w:rsidR="002166F8" w:rsidRPr="002166F8" w:rsidTr="00245846">
        <w:trPr>
          <w:trHeight w:val="967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 w:right="84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Expertiza</w:t>
            </w:r>
            <w:r w:rsidRPr="002166F8">
              <w:rPr>
                <w:rFonts w:eastAsia="Times New Roman" w:cs="Times New Roman"/>
                <w:spacing w:val="4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juridică,</w:t>
            </w:r>
            <w:r w:rsidRPr="002166F8">
              <w:rPr>
                <w:rFonts w:eastAsia="Times New Roman" w:cs="Times New Roman"/>
                <w:spacing w:val="4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urmează</w:t>
            </w:r>
            <w:r w:rsidRPr="002166F8">
              <w:rPr>
                <w:rFonts w:eastAsia="Times New Roman" w:cs="Times New Roman"/>
                <w:spacing w:val="4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4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</w:t>
            </w:r>
            <w:r w:rsidRPr="002166F8">
              <w:rPr>
                <w:rFonts w:eastAsia="Times New Roman" w:cs="Times New Roman"/>
                <w:spacing w:val="4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efectuată</w:t>
            </w:r>
            <w:r w:rsidRPr="002166F8">
              <w:rPr>
                <w:rFonts w:eastAsia="Times New Roman" w:cs="Times New Roman"/>
                <w:spacing w:val="4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4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conformitate</w:t>
            </w:r>
            <w:r w:rsidRPr="002166F8">
              <w:rPr>
                <w:rFonts w:eastAsia="Times New Roman" w:cs="Times New Roman"/>
                <w:spacing w:val="4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4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art.</w:t>
            </w:r>
            <w:r w:rsidRPr="002166F8">
              <w:rPr>
                <w:rFonts w:eastAsia="Times New Roman" w:cs="Times New Roman"/>
                <w:spacing w:val="4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37</w:t>
            </w:r>
            <w:r w:rsidRPr="002166F8">
              <w:rPr>
                <w:rFonts w:eastAsia="Times New Roman" w:cs="Times New Roman"/>
                <w:spacing w:val="4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</w:t>
            </w:r>
            <w:r w:rsidRPr="002166F8">
              <w:rPr>
                <w:rFonts w:eastAsia="Times New Roman" w:cs="Times New Roman"/>
                <w:spacing w:val="4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Legea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0" w:lineRule="atLeast"/>
              <w:ind w:left="107" w:right="84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nr.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100/2017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cu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privire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actele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normative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va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fi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luată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considerație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ulterior,</w:t>
            </w:r>
            <w:r w:rsidRPr="002166F8">
              <w:rPr>
                <w:rFonts w:eastAsia="Times New Roman" w:cs="Times New Roman"/>
                <w:spacing w:val="-6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la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etapa</w:t>
            </w:r>
            <w:r w:rsidRPr="002166F8">
              <w:rPr>
                <w:rFonts w:eastAsia="Times New Roman" w:cs="Times New Roman"/>
                <w:spacing w:val="-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definitivări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proiectului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pentru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promovarea</w:t>
            </w:r>
            <w:r w:rsidRPr="002166F8">
              <w:rPr>
                <w:rFonts w:eastAsia="Times New Roman" w:cs="Times New Roman"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cadrul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ședinței de</w:t>
            </w:r>
            <w:r w:rsidRPr="002166F8">
              <w:rPr>
                <w:rFonts w:eastAsia="Times New Roman" w:cs="Times New Roman"/>
                <w:spacing w:val="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Guvern.</w:t>
            </w:r>
          </w:p>
        </w:tc>
      </w:tr>
      <w:tr w:rsidR="002166F8" w:rsidRPr="002166F8" w:rsidTr="002166F8">
        <w:trPr>
          <w:trHeight w:val="321"/>
        </w:trPr>
        <w:tc>
          <w:tcPr>
            <w:tcW w:w="9453" w:type="dxa"/>
            <w:shd w:val="clear" w:color="auto" w:fill="D5DCE4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eastAsia="Times New Roman" w:cs="Times New Roman"/>
                <w:b/>
                <w:lang w:val="ro-RO"/>
              </w:rPr>
            </w:pPr>
            <w:r w:rsidRPr="002166F8">
              <w:rPr>
                <w:rFonts w:eastAsia="Times New Roman" w:cs="Times New Roman"/>
                <w:b/>
                <w:lang w:val="ro-RO"/>
              </w:rPr>
              <w:t>11.</w:t>
            </w:r>
            <w:r w:rsidRPr="002166F8">
              <w:rPr>
                <w:rFonts w:eastAsia="Times New Roman" w:cs="Times New Roman"/>
                <w:b/>
                <w:spacing w:val="-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Constatările</w:t>
            </w:r>
            <w:r w:rsidRPr="002166F8">
              <w:rPr>
                <w:rFonts w:eastAsia="Times New Roman" w:cs="Times New Roman"/>
                <w:b/>
                <w:spacing w:val="-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altor</w:t>
            </w:r>
            <w:r w:rsidRPr="002166F8">
              <w:rPr>
                <w:rFonts w:eastAsia="Times New Roman" w:cs="Times New Roman"/>
                <w:b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b/>
                <w:lang w:val="ro-RO"/>
              </w:rPr>
              <w:t>expertize</w:t>
            </w:r>
          </w:p>
        </w:tc>
      </w:tr>
      <w:tr w:rsidR="002166F8" w:rsidRPr="002166F8" w:rsidTr="00245846">
        <w:trPr>
          <w:trHeight w:val="966"/>
        </w:trPr>
        <w:tc>
          <w:tcPr>
            <w:tcW w:w="9453" w:type="dxa"/>
          </w:tcPr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07" w:lineRule="exact"/>
              <w:ind w:left="107" w:right="84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>Prin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scrisoarea</w:t>
            </w:r>
            <w:r w:rsidRPr="002166F8">
              <w:rPr>
                <w:rFonts w:eastAsia="Times New Roman" w:cs="Times New Roman"/>
                <w:spacing w:val="4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nr.</w:t>
            </w:r>
            <w:r w:rsidRPr="002166F8">
              <w:rPr>
                <w:rFonts w:eastAsia="Times New Roman" w:cs="Times New Roman"/>
                <w:spacing w:val="4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13/1-812</w:t>
            </w:r>
            <w:r w:rsidRPr="002166F8">
              <w:rPr>
                <w:rFonts w:eastAsia="Times New Roman" w:cs="Times New Roman"/>
                <w:spacing w:val="5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din</w:t>
            </w:r>
            <w:r w:rsidRPr="002166F8">
              <w:rPr>
                <w:rFonts w:eastAsia="Times New Roman" w:cs="Times New Roman"/>
                <w:spacing w:val="4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15.03.2024,</w:t>
            </w:r>
            <w:r w:rsidRPr="002166F8">
              <w:rPr>
                <w:rFonts w:eastAsia="Times New Roman" w:cs="Times New Roman"/>
                <w:spacing w:val="4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Analiza</w:t>
            </w:r>
            <w:r w:rsidRPr="002166F8">
              <w:rPr>
                <w:rFonts w:eastAsia="Times New Roman" w:cs="Times New Roman"/>
                <w:spacing w:val="2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impactului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</w:t>
            </w:r>
            <w:r w:rsidRPr="002166F8">
              <w:rPr>
                <w:rFonts w:eastAsia="Times New Roman" w:cs="Times New Roman"/>
                <w:spacing w:val="2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proiectul</w:t>
            </w:r>
            <w:r w:rsidRPr="002166F8">
              <w:rPr>
                <w:rFonts w:eastAsia="Times New Roman" w:cs="Times New Roman"/>
                <w:spacing w:val="2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2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</w:t>
            </w:r>
            <w:r w:rsidRPr="002166F8">
              <w:rPr>
                <w:rFonts w:eastAsia="Times New Roman" w:cs="Times New Roman"/>
                <w:spacing w:val="2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normativ</w:t>
            </w:r>
            <w:r w:rsidRPr="002166F8">
              <w:rPr>
                <w:rFonts w:eastAsia="Times New Roman" w:cs="Times New Roman"/>
                <w:spacing w:val="3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fost</w:t>
            </w:r>
            <w:r w:rsidRPr="002166F8">
              <w:rPr>
                <w:rFonts w:eastAsia="Times New Roman" w:cs="Times New Roman"/>
                <w:spacing w:val="5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remis</w:t>
            </w:r>
            <w:r w:rsidRPr="002166F8">
              <w:rPr>
                <w:rFonts w:eastAsia="Times New Roman" w:cs="Times New Roman"/>
                <w:spacing w:val="49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spre</w:t>
            </w:r>
            <w:r w:rsidRPr="002166F8">
              <w:rPr>
                <w:rFonts w:eastAsia="Times New Roman" w:cs="Times New Roman"/>
                <w:spacing w:val="50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examinare</w:t>
            </w:r>
            <w:r w:rsidRPr="002166F8">
              <w:rPr>
                <w:rFonts w:eastAsia="Times New Roman" w:cs="Times New Roman"/>
                <w:spacing w:val="48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și expertizare</w:t>
            </w:r>
            <w:r w:rsidRPr="002166F8">
              <w:rPr>
                <w:rFonts w:eastAsia="Times New Roman" w:cs="Times New Roman"/>
                <w:spacing w:val="2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Grupului</w:t>
            </w:r>
            <w:r w:rsidRPr="002166F8">
              <w:rPr>
                <w:rFonts w:eastAsia="Times New Roman" w:cs="Times New Roman"/>
                <w:spacing w:val="2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22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lucru</w:t>
            </w:r>
            <w:r w:rsidRPr="002166F8">
              <w:rPr>
                <w:rFonts w:eastAsia="Times New Roman" w:cs="Times New Roman"/>
                <w:spacing w:val="2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al</w:t>
            </w:r>
            <w:r w:rsidRPr="002166F8">
              <w:rPr>
                <w:rFonts w:eastAsia="Times New Roman" w:cs="Times New Roman"/>
                <w:spacing w:val="-67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Comisiei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-4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stat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pentru reglementarea</w:t>
            </w:r>
            <w:r w:rsidRPr="002166F8">
              <w:rPr>
                <w:rFonts w:eastAsia="Times New Roman" w:cs="Times New Roman"/>
                <w:spacing w:val="-1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activității</w:t>
            </w:r>
            <w:r w:rsidRPr="002166F8">
              <w:rPr>
                <w:rFonts w:eastAsia="Times New Roman" w:cs="Times New Roman"/>
                <w:spacing w:val="-3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de</w:t>
            </w:r>
            <w:r w:rsidRPr="002166F8">
              <w:rPr>
                <w:rFonts w:eastAsia="Times New Roman" w:cs="Times New Roman"/>
                <w:spacing w:val="5"/>
                <w:lang w:val="ro-RO"/>
              </w:rPr>
              <w:t xml:space="preserve"> </w:t>
            </w:r>
            <w:r w:rsidRPr="002166F8">
              <w:rPr>
                <w:rFonts w:eastAsia="Times New Roman" w:cs="Times New Roman"/>
                <w:lang w:val="ro-RO"/>
              </w:rPr>
              <w:t>întreprinzător.</w:t>
            </w:r>
          </w:p>
          <w:p w:rsidR="002166F8" w:rsidRPr="002166F8" w:rsidRDefault="002166F8" w:rsidP="002166F8">
            <w:pPr>
              <w:widowControl w:val="0"/>
              <w:autoSpaceDE w:val="0"/>
              <w:autoSpaceDN w:val="0"/>
              <w:spacing w:after="0" w:line="322" w:lineRule="exact"/>
              <w:ind w:left="107" w:right="84"/>
              <w:jc w:val="both"/>
              <w:rPr>
                <w:rFonts w:eastAsia="Times New Roman" w:cs="Times New Roman"/>
                <w:lang w:val="ro-RO"/>
              </w:rPr>
            </w:pPr>
            <w:r w:rsidRPr="002166F8">
              <w:rPr>
                <w:rFonts w:eastAsia="Times New Roman" w:cs="Times New Roman"/>
                <w:lang w:val="ro-RO"/>
              </w:rPr>
              <w:t xml:space="preserve">În rezultatul ședinței </w:t>
            </w:r>
            <w:r w:rsidRPr="002166F8">
              <w:rPr>
                <w:rFonts w:eastAsia="Times New Roman" w:cs="Times New Roman"/>
                <w:color w:val="000000"/>
                <w:szCs w:val="28"/>
                <w:lang w:val="ro-RO"/>
              </w:rPr>
              <w:t xml:space="preserve">Grupului de lucru din 26 martie, anul în curs, proiectul a fost </w:t>
            </w:r>
            <w:r w:rsidRPr="002166F8">
              <w:rPr>
                <w:rFonts w:eastAsia="Times New Roman" w:cs="Times New Roman"/>
                <w:iCs/>
                <w:color w:val="000000"/>
                <w:szCs w:val="28"/>
                <w:lang w:val="ro-RO"/>
              </w:rPr>
              <w:t xml:space="preserve"> susținut cu condiția luării în considerare a obiecțiilor și recomandărilor.</w:t>
            </w:r>
          </w:p>
        </w:tc>
      </w:tr>
    </w:tbl>
    <w:p w:rsidR="002166F8" w:rsidRPr="002166F8" w:rsidRDefault="002166F8" w:rsidP="002166F8">
      <w:pPr>
        <w:widowControl w:val="0"/>
        <w:tabs>
          <w:tab w:val="left" w:pos="6794"/>
        </w:tabs>
        <w:autoSpaceDE w:val="0"/>
        <w:autoSpaceDN w:val="0"/>
        <w:spacing w:before="268" w:after="0"/>
        <w:ind w:left="1132"/>
        <w:outlineLvl w:val="0"/>
        <w:rPr>
          <w:rFonts w:eastAsia="Times New Roman" w:cs="Times New Roman"/>
          <w:b/>
          <w:bCs/>
          <w:szCs w:val="28"/>
          <w:lang w:val="ro-RO"/>
        </w:rPr>
      </w:pPr>
    </w:p>
    <w:p w:rsidR="002166F8" w:rsidRPr="002166F8" w:rsidRDefault="002166F8" w:rsidP="002166F8">
      <w:pPr>
        <w:widowControl w:val="0"/>
        <w:tabs>
          <w:tab w:val="left" w:pos="6794"/>
        </w:tabs>
        <w:autoSpaceDE w:val="0"/>
        <w:autoSpaceDN w:val="0"/>
        <w:spacing w:before="268" w:after="0"/>
        <w:ind w:left="1132"/>
        <w:outlineLvl w:val="0"/>
        <w:rPr>
          <w:rFonts w:eastAsia="Times New Roman" w:cs="Times New Roman"/>
          <w:b/>
          <w:bCs/>
          <w:szCs w:val="28"/>
          <w:lang w:val="ro-RO"/>
        </w:rPr>
      </w:pPr>
      <w:r w:rsidRPr="002166F8">
        <w:rPr>
          <w:rFonts w:eastAsia="Times New Roman" w:cs="Times New Roman"/>
          <w:b/>
          <w:bCs/>
          <w:szCs w:val="28"/>
          <w:lang w:val="ro-RO"/>
        </w:rPr>
        <w:t>Secretar</w:t>
      </w:r>
      <w:r w:rsidRPr="002166F8">
        <w:rPr>
          <w:rFonts w:eastAsia="Times New Roman" w:cs="Times New Roman"/>
          <w:b/>
          <w:bCs/>
          <w:spacing w:val="-8"/>
          <w:szCs w:val="28"/>
          <w:lang w:val="ro-RO"/>
        </w:rPr>
        <w:t xml:space="preserve"> </w:t>
      </w:r>
      <w:r w:rsidRPr="002166F8">
        <w:rPr>
          <w:rFonts w:eastAsia="Times New Roman" w:cs="Times New Roman"/>
          <w:b/>
          <w:bCs/>
          <w:szCs w:val="28"/>
          <w:lang w:val="ro-RO"/>
        </w:rPr>
        <w:t>de</w:t>
      </w:r>
      <w:r w:rsidRPr="002166F8">
        <w:rPr>
          <w:rFonts w:eastAsia="Times New Roman" w:cs="Times New Roman"/>
          <w:b/>
          <w:bCs/>
          <w:spacing w:val="-8"/>
          <w:szCs w:val="28"/>
          <w:lang w:val="ro-RO"/>
        </w:rPr>
        <w:t xml:space="preserve"> </w:t>
      </w:r>
      <w:r w:rsidRPr="002166F8">
        <w:rPr>
          <w:rFonts w:eastAsia="Times New Roman" w:cs="Times New Roman"/>
          <w:b/>
          <w:bCs/>
          <w:szCs w:val="28"/>
          <w:lang w:val="ro-RO"/>
        </w:rPr>
        <w:t>stat                                        Cătălina</w:t>
      </w:r>
      <w:r w:rsidRPr="002166F8">
        <w:rPr>
          <w:rFonts w:eastAsia="Times New Roman" w:cs="Times New Roman"/>
          <w:b/>
          <w:bCs/>
          <w:spacing w:val="-3"/>
          <w:szCs w:val="28"/>
          <w:lang w:val="ro-RO"/>
        </w:rPr>
        <w:t xml:space="preserve"> </w:t>
      </w:r>
      <w:r w:rsidRPr="002166F8">
        <w:rPr>
          <w:rFonts w:eastAsia="Times New Roman" w:cs="Times New Roman"/>
          <w:b/>
          <w:bCs/>
          <w:szCs w:val="28"/>
          <w:lang w:val="ro-RO"/>
        </w:rPr>
        <w:t>PLINSCHI</w:t>
      </w:r>
    </w:p>
    <w:p w:rsidR="002166F8" w:rsidRPr="002166F8" w:rsidRDefault="002166F8" w:rsidP="002166F8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8"/>
          <w:lang w:val="ro-RO"/>
        </w:rPr>
      </w:pPr>
    </w:p>
    <w:p w:rsidR="002166F8" w:rsidRPr="002166F8" w:rsidRDefault="002166F8" w:rsidP="002166F8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ro-RO"/>
        </w:rPr>
      </w:pPr>
    </w:p>
    <w:p w:rsidR="002166F8" w:rsidRPr="002166F8" w:rsidRDefault="002166F8" w:rsidP="002166F8">
      <w:pPr>
        <w:widowControl w:val="0"/>
        <w:autoSpaceDE w:val="0"/>
        <w:autoSpaceDN w:val="0"/>
        <w:spacing w:before="65" w:after="0"/>
        <w:ind w:right="117"/>
        <w:jc w:val="both"/>
        <w:rPr>
          <w:rFonts w:eastAsia="Times New Roman" w:cs="Times New Roman"/>
          <w:lang w:val="ro-RO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F603C"/>
    <w:multiLevelType w:val="hybridMultilevel"/>
    <w:tmpl w:val="7778D424"/>
    <w:lvl w:ilvl="0" w:tplc="17789680">
      <w:numFmt w:val="bullet"/>
      <w:lvlText w:val="-"/>
      <w:lvlJc w:val="left"/>
      <w:pPr>
        <w:ind w:left="894" w:hanging="6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5169F90">
      <w:numFmt w:val="bullet"/>
      <w:lvlText w:val="•"/>
      <w:lvlJc w:val="left"/>
      <w:pPr>
        <w:ind w:left="1754" w:hanging="666"/>
      </w:pPr>
      <w:rPr>
        <w:rFonts w:hint="default"/>
        <w:lang w:val="ro-RO" w:eastAsia="en-US" w:bidi="ar-SA"/>
      </w:rPr>
    </w:lvl>
    <w:lvl w:ilvl="2" w:tplc="01CE91D6">
      <w:numFmt w:val="bullet"/>
      <w:lvlText w:val="•"/>
      <w:lvlJc w:val="left"/>
      <w:pPr>
        <w:ind w:left="2608" w:hanging="666"/>
      </w:pPr>
      <w:rPr>
        <w:rFonts w:hint="default"/>
        <w:lang w:val="ro-RO" w:eastAsia="en-US" w:bidi="ar-SA"/>
      </w:rPr>
    </w:lvl>
    <w:lvl w:ilvl="3" w:tplc="2FB0C9A8">
      <w:numFmt w:val="bullet"/>
      <w:lvlText w:val="•"/>
      <w:lvlJc w:val="left"/>
      <w:pPr>
        <w:ind w:left="3462" w:hanging="666"/>
      </w:pPr>
      <w:rPr>
        <w:rFonts w:hint="default"/>
        <w:lang w:val="ro-RO" w:eastAsia="en-US" w:bidi="ar-SA"/>
      </w:rPr>
    </w:lvl>
    <w:lvl w:ilvl="4" w:tplc="C644C52C">
      <w:numFmt w:val="bullet"/>
      <w:lvlText w:val="•"/>
      <w:lvlJc w:val="left"/>
      <w:pPr>
        <w:ind w:left="4317" w:hanging="666"/>
      </w:pPr>
      <w:rPr>
        <w:rFonts w:hint="default"/>
        <w:lang w:val="ro-RO" w:eastAsia="en-US" w:bidi="ar-SA"/>
      </w:rPr>
    </w:lvl>
    <w:lvl w:ilvl="5" w:tplc="BA90C13E">
      <w:numFmt w:val="bullet"/>
      <w:lvlText w:val="•"/>
      <w:lvlJc w:val="left"/>
      <w:pPr>
        <w:ind w:left="5171" w:hanging="666"/>
      </w:pPr>
      <w:rPr>
        <w:rFonts w:hint="default"/>
        <w:lang w:val="ro-RO" w:eastAsia="en-US" w:bidi="ar-SA"/>
      </w:rPr>
    </w:lvl>
    <w:lvl w:ilvl="6" w:tplc="ED709434">
      <w:numFmt w:val="bullet"/>
      <w:lvlText w:val="•"/>
      <w:lvlJc w:val="left"/>
      <w:pPr>
        <w:ind w:left="6025" w:hanging="666"/>
      </w:pPr>
      <w:rPr>
        <w:rFonts w:hint="default"/>
        <w:lang w:val="ro-RO" w:eastAsia="en-US" w:bidi="ar-SA"/>
      </w:rPr>
    </w:lvl>
    <w:lvl w:ilvl="7" w:tplc="1ED2B08A">
      <w:numFmt w:val="bullet"/>
      <w:lvlText w:val="•"/>
      <w:lvlJc w:val="left"/>
      <w:pPr>
        <w:ind w:left="6880" w:hanging="666"/>
      </w:pPr>
      <w:rPr>
        <w:rFonts w:hint="default"/>
        <w:lang w:val="ro-RO" w:eastAsia="en-US" w:bidi="ar-SA"/>
      </w:rPr>
    </w:lvl>
    <w:lvl w:ilvl="8" w:tplc="33025DCE">
      <w:numFmt w:val="bullet"/>
      <w:lvlText w:val="•"/>
      <w:lvlJc w:val="left"/>
      <w:pPr>
        <w:ind w:left="7734" w:hanging="66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31"/>
    <w:rsid w:val="002166F8"/>
    <w:rsid w:val="006C0B77"/>
    <w:rsid w:val="007E5E3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A85E6-F398-4540-9F9A-2B44D91B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2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Vornic</dc:creator>
  <cp:keywords/>
  <dc:description/>
  <cp:lastModifiedBy>Stefan Vornic</cp:lastModifiedBy>
  <cp:revision>2</cp:revision>
  <dcterms:created xsi:type="dcterms:W3CDTF">2024-04-02T05:38:00Z</dcterms:created>
  <dcterms:modified xsi:type="dcterms:W3CDTF">2024-04-02T05:39:00Z</dcterms:modified>
</cp:coreProperties>
</file>