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6A1" w:rsidRDefault="005276A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Notă Informativă</w:t>
      </w:r>
    </w:p>
    <w:p w:rsidR="00E956A1" w:rsidRDefault="005276A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proiectul de lege privind modificarea unor acte normative </w:t>
      </w:r>
      <w:r>
        <w:rPr>
          <w:rFonts w:ascii="Times New Roman" w:eastAsia="Times New Roman" w:hAnsi="Times New Roman" w:cs="Times New Roman"/>
          <w:b/>
          <w:i/>
          <w:color w:val="000000"/>
          <w:sz w:val="24"/>
          <w:szCs w:val="24"/>
        </w:rPr>
        <w:t>(promovarea cogenerării și sistemelor de alimentare centralizate cu energie termică)</w:t>
      </w:r>
    </w:p>
    <w:tbl>
      <w:tblPr>
        <w:tblStyle w:val="a"/>
        <w:tblW w:w="9900" w:type="dxa"/>
        <w:tblInd w:w="-360" w:type="dxa"/>
        <w:tblLayout w:type="fixed"/>
        <w:tblLook w:val="0400" w:firstRow="0" w:lastRow="0" w:firstColumn="0" w:lastColumn="0" w:noHBand="0" w:noVBand="1"/>
      </w:tblPr>
      <w:tblGrid>
        <w:gridCol w:w="348"/>
        <w:gridCol w:w="9340"/>
        <w:gridCol w:w="212"/>
      </w:tblGrid>
      <w:tr w:rsidR="00E956A1">
        <w:trPr>
          <w:gridAfter w:val="1"/>
          <w:wAfter w:w="212" w:type="dxa"/>
        </w:trPr>
        <w:tc>
          <w:tcPr>
            <w:tcW w:w="348" w:type="dxa"/>
          </w:tcPr>
          <w:p w:rsidR="00E956A1" w:rsidRDefault="00E956A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9340" w:type="dxa"/>
            <w:tcBorders>
              <w:top w:val="nil"/>
              <w:left w:val="nil"/>
              <w:bottom w:val="single" w:sz="6" w:space="0" w:color="000000"/>
              <w:right w:val="nil"/>
            </w:tcBorders>
            <w:shd w:val="clear" w:color="auto" w:fill="FFFFFF"/>
            <w:tcMar>
              <w:top w:w="24" w:type="dxa"/>
              <w:left w:w="48" w:type="dxa"/>
              <w:bottom w:w="24" w:type="dxa"/>
              <w:right w:w="48" w:type="dxa"/>
            </w:tcMar>
          </w:tcPr>
          <w:p w:rsidR="00E956A1" w:rsidRDefault="00E956A1">
            <w:pPr>
              <w:spacing w:after="0" w:line="240" w:lineRule="auto"/>
              <w:jc w:val="center"/>
              <w:rPr>
                <w:rFonts w:ascii="Times New Roman" w:eastAsia="Times New Roman" w:hAnsi="Times New Roman" w:cs="Times New Roman"/>
                <w:color w:val="000000"/>
                <w:sz w:val="26"/>
                <w:szCs w:val="26"/>
              </w:rPr>
            </w:pP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ind w:firstLine="13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Denumirea autorului și, după caz, a participanților la elaborarea proiectului</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sz w:val="24"/>
                <w:szCs w:val="24"/>
              </w:rPr>
            </w:pPr>
            <w:r>
              <w:rPr>
                <w:rFonts w:ascii="Times New Roman" w:eastAsia="Times New Roman" w:hAnsi="Times New Roman" w:cs="Times New Roman"/>
                <w:sz w:val="24"/>
                <w:szCs w:val="24"/>
              </w:rPr>
              <w:t xml:space="preserve"> Proiectul de lege privind modificarea unor acte normative, cum ar fi Legea nr. 92/2014 cu privire la energia termică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promovarea cogenerării, precum și legile conexe modificărilor efectuate, cum ar fi Legea nr. 1402/2002 serviciilor publice de gospodări</w:t>
            </w:r>
            <w:r>
              <w:rPr>
                <w:rFonts w:ascii="Times New Roman" w:eastAsia="Times New Roman" w:hAnsi="Times New Roman" w:cs="Times New Roman"/>
                <w:sz w:val="24"/>
                <w:szCs w:val="24"/>
              </w:rPr>
              <w:t xml:space="preserve">e comunală, Legea nr. 75/2015 cu privire la </w:t>
            </w:r>
            <w:proofErr w:type="spellStart"/>
            <w:r>
              <w:rPr>
                <w:rFonts w:ascii="Times New Roman" w:eastAsia="Times New Roman" w:hAnsi="Times New Roman" w:cs="Times New Roman"/>
                <w:sz w:val="24"/>
                <w:szCs w:val="24"/>
              </w:rPr>
              <w:t>locuinţe</w:t>
            </w:r>
            <w:proofErr w:type="spellEnd"/>
            <w:r>
              <w:rPr>
                <w:rFonts w:ascii="Times New Roman" w:eastAsia="Times New Roman" w:hAnsi="Times New Roman" w:cs="Times New Roman"/>
                <w:sz w:val="24"/>
                <w:szCs w:val="24"/>
              </w:rPr>
              <w:t>, Legea nr. 187/2022 cu privire la condominium, Legea nr. 436/2006 privind administrația publică locală  a fost  elaborat de către Ministerul Energiei.</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ind w:firstLine="13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Condițiile ce au impus elaborarea proiectului de</w:t>
            </w:r>
            <w:r>
              <w:rPr>
                <w:rFonts w:ascii="Times New Roman" w:eastAsia="Times New Roman" w:hAnsi="Times New Roman" w:cs="Times New Roman"/>
                <w:color w:val="000000"/>
                <w:sz w:val="24"/>
                <w:szCs w:val="24"/>
              </w:rPr>
              <w:t xml:space="preserve"> act normativ și finalitățile urmărite</w:t>
            </w:r>
          </w:p>
        </w:tc>
      </w:tr>
      <w:tr w:rsidR="00E956A1">
        <w:trPr>
          <w:trHeight w:val="4781"/>
        </w:trPr>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Dezvoltarea sistemelor de alimentare centralizată cu energie termică (SACET) precum și a instalațiilor de cogenerare de înaltă eficiență reprezintă o prioritate a politicii de stat în domeniul energetic, fapt confirmat prin documentele de politici, inclusi</w:t>
            </w:r>
            <w:r>
              <w:rPr>
                <w:rFonts w:ascii="Times New Roman" w:eastAsia="Times New Roman" w:hAnsi="Times New Roman" w:cs="Times New Roman"/>
                <w:sz w:val="24"/>
                <w:szCs w:val="24"/>
              </w:rPr>
              <w:t xml:space="preserve">v prin Strategia energetică a Republicii Moldova, aflată în proces de revizuire.    </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 momentul aprobării Legii nr. 92/2014 relațiile în domeniul reglementat de legea dată au evoluat, respectiv au apărut un șir de situații pe care legea nu le prevede, ia</w:t>
            </w:r>
            <w:r>
              <w:rPr>
                <w:rFonts w:ascii="Times New Roman" w:eastAsia="Times New Roman" w:hAnsi="Times New Roman" w:cs="Times New Roman"/>
                <w:sz w:val="24"/>
                <w:szCs w:val="24"/>
              </w:rPr>
              <w:t xml:space="preserve">r subiecții care aplică legea nu au claritate asupra acțiunilor pe care urmează să le întreprindă inclusiv în vederea creșterii eficienței și sporirii durabilității SACET-urilor. </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de menționat faptul că, după aprobarea legii sus menționate, pe parcurs</w:t>
            </w:r>
            <w:r>
              <w:rPr>
                <w:rFonts w:ascii="Times New Roman" w:eastAsia="Times New Roman" w:hAnsi="Times New Roman" w:cs="Times New Roman"/>
                <w:sz w:val="24"/>
                <w:szCs w:val="24"/>
              </w:rPr>
              <w:t xml:space="preserve"> au fost elaborate și aprobate un șir de alte acte legislative care au tangențe esențiale cu legea în cauză și anume: Legea nr. 107/2016 cu privire la energia electrică, Legea nr. 108/2016 cu privire la gazele naturale, Legea nr. 174/2017 cu privire la ene</w:t>
            </w:r>
            <w:r>
              <w:rPr>
                <w:rFonts w:ascii="Times New Roman" w:eastAsia="Times New Roman" w:hAnsi="Times New Roman" w:cs="Times New Roman"/>
                <w:sz w:val="24"/>
                <w:szCs w:val="24"/>
              </w:rPr>
              <w:t>rgetică, Legea nr. 139/2018 cu privire la eficiența energetică, inclusiv Legea nr.113/2023 pentru modificarea Legii nr.139/2018 cu privire la eficiența energetică – cadru legislativ care instituie reglementări diferite în comparație cu Legea nr. 92/2014 pe</w:t>
            </w:r>
            <w:r>
              <w:rPr>
                <w:rFonts w:ascii="Times New Roman" w:eastAsia="Times New Roman" w:hAnsi="Times New Roman" w:cs="Times New Roman"/>
                <w:sz w:val="24"/>
                <w:szCs w:val="24"/>
              </w:rPr>
              <w:t>ntru o serie de întrebări comune, iar prin modificările elaborate se urmărește uniformizarea rigorilor legale față de toți subiecții sectorului energetic, în măsura în care acest lucru este oportun.</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prin acest proiect de lege se urmărește consoli</w:t>
            </w:r>
            <w:r>
              <w:rPr>
                <w:rFonts w:ascii="Times New Roman" w:eastAsia="Times New Roman" w:hAnsi="Times New Roman" w:cs="Times New Roman"/>
                <w:sz w:val="24"/>
                <w:szCs w:val="24"/>
              </w:rPr>
              <w:t>darea sistemelor de alimentare centralizată cu energie termică (SACET) existente, precum și dezvoltarea acestora, în contextul politicilor promovate de eficientizare a consumului de resurse energetice.</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Astfel, urmând practicile statelor Uniunii Europene, î</w:t>
            </w:r>
            <w:r>
              <w:rPr>
                <w:rFonts w:ascii="Times New Roman" w:eastAsia="Times New Roman" w:hAnsi="Times New Roman" w:cs="Times New Roman"/>
                <w:sz w:val="24"/>
                <w:szCs w:val="24"/>
              </w:rPr>
              <w:t xml:space="preserve">n special a celor baltice, prin prezentul proiect de lege se urmărește ca clădirile autorităților și instituțiilor publice să devină cei mai „exemplari” consumatori ai SACET-urilor prin conectarea/reconectarea la acestea, confirmând astfel, rolul exemplar </w:t>
            </w:r>
            <w:r>
              <w:rPr>
                <w:rFonts w:ascii="Times New Roman" w:eastAsia="Times New Roman" w:hAnsi="Times New Roman" w:cs="Times New Roman"/>
                <w:sz w:val="24"/>
                <w:szCs w:val="24"/>
              </w:rPr>
              <w:t xml:space="preserve">al sectorului public în acest sens.  </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urmare, un alt element important introdus prin prezentul proiect de lege, care vine să susțină dezvoltarea durabilă a SACET-urilor, este stabilirea  zonelor unitare de alimentare cu energie termică pentru care aut</w:t>
            </w:r>
            <w:r>
              <w:rPr>
                <w:rFonts w:ascii="Times New Roman" w:eastAsia="Times New Roman" w:hAnsi="Times New Roman" w:cs="Times New Roman"/>
                <w:sz w:val="24"/>
                <w:szCs w:val="24"/>
              </w:rPr>
              <w:t>oritățile administrației publice locale vor stabili că consumatorii aflați în raza de acoperire a acestora urmează să fie conectați exclusiv la sistemele centralizate de alimentare cu energie termică.</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proiectul legii prevede conectarea la SACET-u</w:t>
            </w:r>
            <w:r>
              <w:rPr>
                <w:rFonts w:ascii="Times New Roman" w:eastAsia="Times New Roman" w:hAnsi="Times New Roman" w:cs="Times New Roman"/>
                <w:sz w:val="24"/>
                <w:szCs w:val="24"/>
              </w:rPr>
              <w:t xml:space="preserve">ri a clădirilor noi construite, precum și a celor supuse renovărilor majore, în cazul existenței posibilităților tehnice având în vedere fezabilitatea economică a acestora. </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Într-o estimare „conservativă” pentru situația SACET din mun. Chișinău este posibi</w:t>
            </w:r>
            <w:r>
              <w:rPr>
                <w:rFonts w:ascii="Times New Roman" w:eastAsia="Times New Roman" w:hAnsi="Times New Roman" w:cs="Times New Roman"/>
                <w:sz w:val="24"/>
                <w:szCs w:val="24"/>
              </w:rPr>
              <w:t xml:space="preserve">lă, din punct de vedere tehnic, creșterea sarcinii termice cu cca. 30%. Aceasta din urmă ar oferi o reducere a costului </w:t>
            </w:r>
            <w:r>
              <w:rPr>
                <w:rFonts w:ascii="Times New Roman" w:eastAsia="Times New Roman" w:hAnsi="Times New Roman" w:cs="Times New Roman"/>
                <w:sz w:val="24"/>
                <w:szCs w:val="24"/>
              </w:rPr>
              <w:lastRenderedPageBreak/>
              <w:t>serviciului prestat cu un minim de 15%, ceea ce justifică politicile curente de consolidare a SACET-urilor.</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alt „pilon” al modificări</w:t>
            </w:r>
            <w:r>
              <w:rPr>
                <w:rFonts w:ascii="Times New Roman" w:eastAsia="Times New Roman" w:hAnsi="Times New Roman" w:cs="Times New Roman"/>
                <w:sz w:val="24"/>
                <w:szCs w:val="24"/>
              </w:rPr>
              <w:t>lor propuse, care nu este mai puțin important, ține de crearea posibilității atragerii finanțărilor în domeniul termoenergetic din partea terțelor părți pentru reabilitarea, modernizarea echipamentului/utilajului unității termoenergetice prin încheierea co</w:t>
            </w:r>
            <w:r>
              <w:rPr>
                <w:rFonts w:ascii="Times New Roman" w:eastAsia="Times New Roman" w:hAnsi="Times New Roman" w:cs="Times New Roman"/>
                <w:sz w:val="24"/>
                <w:szCs w:val="24"/>
              </w:rPr>
              <w:t>ntractelor de performanță energetică cu prestatorii de servicii energetice în conformitate cu Legea nr. 139/2018 cu privire la eficiența energetică.</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Astfel, având în vedere cele menționate supra s-a decis elaborarea proiectului de lege privind modificarea </w:t>
            </w:r>
            <w:r>
              <w:rPr>
                <w:rFonts w:ascii="Times New Roman" w:eastAsia="Times New Roman" w:hAnsi="Times New Roman" w:cs="Times New Roman"/>
                <w:sz w:val="24"/>
                <w:szCs w:val="24"/>
              </w:rPr>
              <w:t>unor acte normative, care urmează să stabilească ajustările necesare la cadrul normativ primar, care ar facilita promovarea dezvoltării durabile a SACET-urilor în detrimentul utilizării soluțiilor individuale de alimentare cu energie termică și apă caldă m</w:t>
            </w:r>
            <w:r>
              <w:rPr>
                <w:rFonts w:ascii="Times New Roman" w:eastAsia="Times New Roman" w:hAnsi="Times New Roman" w:cs="Times New Roman"/>
                <w:sz w:val="24"/>
                <w:szCs w:val="24"/>
              </w:rPr>
              <w:t>enajeră în zonele urbane (preponderent Chișinău și Bălți), care în majoritatea cazurilor, utilizând combustibilii fosili, sunt de natură să aducă efecte negative asupra mediului înconjurător, precum și prejudicii și daune materiale, morale, asupra sănătăți</w:t>
            </w:r>
            <w:r>
              <w:rPr>
                <w:rFonts w:ascii="Times New Roman" w:eastAsia="Times New Roman" w:hAnsi="Times New Roman" w:cs="Times New Roman"/>
                <w:sz w:val="24"/>
                <w:szCs w:val="24"/>
              </w:rPr>
              <w:t>i altor consumatori sau chiar vieții acestora, în condiții de exploatare greșită.</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Pr>
                <w:rFonts w:ascii="Times New Roman" w:eastAsia="Times New Roman" w:hAnsi="Times New Roman" w:cs="Times New Roman"/>
                <w:color w:val="000000"/>
                <w:sz w:val="24"/>
                <w:szCs w:val="24"/>
              </w:rPr>
              <w:t> Descrierea gradului de compatibilitate pentru proiectele care au ca scop armonizarea legislației naționale cu legislația Uniunii Europene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Proiectul de lege privind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modificarea unor acte normative nu conține careva norme privind armonizarea legislației naționale cu legislația Uniunii Europene.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Principalele prevederi ale proiectului și evidențierea elementelor noi</w:t>
            </w:r>
          </w:p>
        </w:tc>
      </w:tr>
      <w:tr w:rsidR="00E956A1">
        <w:trPr>
          <w:trHeight w:val="5811"/>
        </w:trPr>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Proiectul de leg</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sz w:val="24"/>
                <w:szCs w:val="24"/>
              </w:rPr>
              <w:t xml:space="preserve">privind modificarea unor acte normative, </w:t>
            </w:r>
            <w:r>
              <w:rPr>
                <w:rFonts w:ascii="Times New Roman" w:eastAsia="Times New Roman" w:hAnsi="Times New Roman" w:cs="Times New Roman"/>
                <w:color w:val="000000"/>
                <w:sz w:val="24"/>
                <w:szCs w:val="24"/>
              </w:rPr>
              <w:t xml:space="preserve">cuprinde modificări la actele normative prezentate în pct. 6 de mai jos, principalele modificări fiind operate la Legea </w:t>
            </w:r>
            <w:r>
              <w:rPr>
                <w:rFonts w:ascii="Times New Roman" w:eastAsia="Times New Roman" w:hAnsi="Times New Roman" w:cs="Times New Roman"/>
                <w:sz w:val="24"/>
                <w:szCs w:val="24"/>
              </w:rPr>
              <w:t xml:space="preserve">nr. 92/2014 cu privire la energia termică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promovarea cogenerării, prin încorporarea în cad</w:t>
            </w:r>
            <w:r>
              <w:rPr>
                <w:rFonts w:ascii="Times New Roman" w:eastAsia="Times New Roman" w:hAnsi="Times New Roman" w:cs="Times New Roman"/>
                <w:sz w:val="24"/>
                <w:szCs w:val="24"/>
              </w:rPr>
              <w:t xml:space="preserve">rul acesteia a </w:t>
            </w:r>
            <w:r>
              <w:rPr>
                <w:rFonts w:ascii="Times New Roman" w:eastAsia="Times New Roman" w:hAnsi="Times New Roman" w:cs="Times New Roman"/>
                <w:color w:val="000000"/>
                <w:sz w:val="24"/>
                <w:szCs w:val="24"/>
              </w:rPr>
              <w:t>modificărilor la articolele existente și/sau adăugarea de articole noi conform descrierilor de mai jos.</w:t>
            </w:r>
          </w:p>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Așa după cum a fost menționat și mai sus în cadrul proiectului de lege este prevăzută obligativitatea clădirile autorităților și instituț</w:t>
            </w:r>
            <w:r>
              <w:rPr>
                <w:rFonts w:ascii="Times New Roman" w:eastAsia="Times New Roman" w:hAnsi="Times New Roman" w:cs="Times New Roman"/>
                <w:sz w:val="24"/>
                <w:szCs w:val="24"/>
              </w:rPr>
              <w:t xml:space="preserve">iilor de a se conecta/reconecta la SACET, astfel fiind demonstrat rolul exemplar al sectorului public în promovarea sistemelor centralizate de alimentare cu energie termică.  </w:t>
            </w:r>
          </w:p>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Un alt element important introdus prin proiectul de lege ține de stabilirea  zon</w:t>
            </w:r>
            <w:r>
              <w:rPr>
                <w:rFonts w:ascii="Times New Roman" w:eastAsia="Times New Roman" w:hAnsi="Times New Roman" w:cs="Times New Roman"/>
                <w:sz w:val="24"/>
                <w:szCs w:val="24"/>
              </w:rPr>
              <w:t>elor unitare de alimentare cu energie termică pentru care autoritățile administrației publice locale vor stabili obligativitatea consumatorilor aflați în raza de acoperire a acestora de a se conecta exclusiv la sistemele centralizate de alimentare cu energ</w:t>
            </w:r>
            <w:r>
              <w:rPr>
                <w:rFonts w:ascii="Times New Roman" w:eastAsia="Times New Roman" w:hAnsi="Times New Roman" w:cs="Times New Roman"/>
                <w:sz w:val="24"/>
                <w:szCs w:val="24"/>
              </w:rPr>
              <w:t>ie termică, iar deconectarea acestora în raza acestor zone urmează a fi interzisă. Pentru consumatorii aflați în afara acestor zone unitare, în cazul solicitării deconectării de la SACET, aceștia vor trebui să prezinte un studiu de fezabilitate elaborat de</w:t>
            </w:r>
            <w:r>
              <w:rPr>
                <w:rFonts w:ascii="Times New Roman" w:eastAsia="Times New Roman" w:hAnsi="Times New Roman" w:cs="Times New Roman"/>
                <w:sz w:val="24"/>
                <w:szCs w:val="24"/>
              </w:rPr>
              <w:t xml:space="preserve"> către auditorii energetici, în baza unui Ghid elaborat de către instituția publică ce asigură suportul în implementarea politicii statului în domeniul eficienței energetice, care va trebui să demonstreze fezabilitatea deconectării.     </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proiectu</w:t>
            </w:r>
            <w:r>
              <w:rPr>
                <w:rFonts w:ascii="Times New Roman" w:eastAsia="Times New Roman" w:hAnsi="Times New Roman" w:cs="Times New Roman"/>
                <w:sz w:val="24"/>
                <w:szCs w:val="24"/>
              </w:rPr>
              <w:t xml:space="preserve">l legii prevede obligativitatea clădirilor noi construite precum și a celor supuse renovărilor majore de a se conecta la SACET-uri, în cazul existenței posibilităților tehnice având în vedere fezabilitatea economică a acestora. </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Printre alte modificări propuse putem enumera și reglementarea externalizării serviciilor sau lucrărilor de către titularii de licențe, folosirea terenurilor și drepturile asupra proprietății unui terț, oferirea dreptului de folosință asupra proprietății u</w:t>
            </w:r>
            <w:r>
              <w:rPr>
                <w:rFonts w:ascii="Times New Roman" w:eastAsia="Times New Roman" w:hAnsi="Times New Roman" w:cs="Times New Roman"/>
                <w:sz w:val="24"/>
                <w:szCs w:val="24"/>
              </w:rPr>
              <w:t xml:space="preserve">nui terț, exercitarea drepturilor de folosință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 servitute, inclusiv recuperarea prejudiciilor cauzate, exproprierea, zonele de protecție a rețelelor termice, </w:t>
            </w:r>
            <w:r>
              <w:rPr>
                <w:rFonts w:ascii="Times New Roman" w:eastAsia="Times New Roman" w:hAnsi="Times New Roman" w:cs="Times New Roman"/>
                <w:sz w:val="24"/>
                <w:szCs w:val="24"/>
              </w:rPr>
              <w:lastRenderedPageBreak/>
              <w:t xml:space="preserve">transmiterea proprietății unui terț, necesitatea elaborări planurilor de dezvoltare de către </w:t>
            </w:r>
            <w:r>
              <w:rPr>
                <w:rFonts w:ascii="Times New Roman" w:eastAsia="Times New Roman" w:hAnsi="Times New Roman" w:cs="Times New Roman"/>
                <w:sz w:val="24"/>
                <w:szCs w:val="24"/>
              </w:rPr>
              <w:t xml:space="preserve">producătorii și distribuitorii de energie termică, cu includerea unor repere privind structura acestor planuri, etc.  </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altă modificare propusă, ține de crearea premiselor necesare în vederea atragerii finanțărilor în domeniul termoenergetic pentru reabil</w:t>
            </w:r>
            <w:r>
              <w:rPr>
                <w:rFonts w:ascii="Times New Roman" w:eastAsia="Times New Roman" w:hAnsi="Times New Roman" w:cs="Times New Roman"/>
                <w:sz w:val="24"/>
                <w:szCs w:val="24"/>
              </w:rPr>
              <w:t>itarea, modernizarea echipamentului/utilajului unității termoenergetice prin încheierea contractelor de performanță energetică cu prestatorii de servicii energetice în conformitate cu prevederile Legii nr. 139/2018 cu privire la eficiența energetică.</w:t>
            </w:r>
          </w:p>
          <w:p w:rsidR="00E956A1" w:rsidRDefault="005276A0">
            <w:pPr>
              <w:spacing w:after="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de menționat faptul că proiectul de lege include clauze care oferă dreptul consumatorilor de energie termică de a solicita, contra plată, de la distribuitorul energiei termice, deservirea, reparația și gestionarea utilajului și a rețelelor termice, rețelel</w:t>
            </w:r>
            <w:r>
              <w:rPr>
                <w:rFonts w:ascii="Times New Roman" w:eastAsia="Times New Roman" w:hAnsi="Times New Roman" w:cs="Times New Roman"/>
                <w:sz w:val="24"/>
                <w:szCs w:val="24"/>
              </w:rPr>
              <w:t xml:space="preserve">or de apă caldă menajeră, aflate în gestiunea consumatorului. </w:t>
            </w:r>
          </w:p>
          <w:p w:rsidR="00E956A1" w:rsidRDefault="005276A0">
            <w:pPr>
              <w:spacing w:after="0" w:line="276"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O altă modificare prevăzută prin proiectul de lege ține de completarea atribuțiilor </w:t>
            </w:r>
            <w:proofErr w:type="spellStart"/>
            <w:r>
              <w:rPr>
                <w:rFonts w:ascii="Times New Roman" w:eastAsia="Times New Roman" w:hAnsi="Times New Roman" w:cs="Times New Roman"/>
                <w:sz w:val="24"/>
                <w:szCs w:val="24"/>
              </w:rPr>
              <w:t>Agenţiei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Naţionale</w:t>
            </w:r>
            <w:proofErr w:type="spellEnd"/>
            <w:r>
              <w:rPr>
                <w:rFonts w:ascii="Times New Roman" w:eastAsia="Times New Roman" w:hAnsi="Times New Roman" w:cs="Times New Roman"/>
                <w:sz w:val="24"/>
                <w:szCs w:val="24"/>
              </w:rPr>
              <w:t xml:space="preserve"> pentru Reglementare în Energetică în ceea ce privește ajustarea extraordinară a prețurilor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tarifelor, împuternicirea acesteia în vederea aplicării san</w:t>
            </w:r>
            <w:r>
              <w:rPr>
                <w:rFonts w:ascii="Times New Roman" w:eastAsia="Times New Roman" w:hAnsi="Times New Roman" w:cs="Times New Roman"/>
                <w:sz w:val="24"/>
                <w:szCs w:val="24"/>
              </w:rPr>
              <w:t>cțiuni financiare asupra unităților termoenergetice în caz de încălcare a prevederilor legale, corectarea venitului reglementat la producerea energiei electrice, producerea, distribuția și furnizarea energiei termice.</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o altă modificare prevede îm</w:t>
            </w:r>
            <w:r>
              <w:rPr>
                <w:rFonts w:ascii="Times New Roman" w:eastAsia="Times New Roman" w:hAnsi="Times New Roman" w:cs="Times New Roman"/>
                <w:sz w:val="24"/>
                <w:szCs w:val="24"/>
              </w:rPr>
              <w:t>puternicirea titularilor de licență în vederea aplicării penalităților pentru întârzierea la plata energiei termice facturate în mărimea stabilită în contract, prin stabilirea modalităților și a limitelor de aplicare a acestora.</w:t>
            </w:r>
          </w:p>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 urmare, prin aprobarea</w:t>
            </w:r>
            <w:r>
              <w:rPr>
                <w:rFonts w:ascii="Times New Roman" w:eastAsia="Times New Roman" w:hAnsi="Times New Roman" w:cs="Times New Roman"/>
                <w:color w:val="000000"/>
                <w:sz w:val="24"/>
                <w:szCs w:val="24"/>
              </w:rPr>
              <w:t xml:space="preserve"> modificărilor propuse prin proiectul de lege, se va da un semnal suplimentar, asupra interesului sporit al statului față de promovarea sistemelor centralizate de alimentare cu energie în special prin crearea premiselor necesare în vederea dezvoltării aces</w:t>
            </w:r>
            <w:r>
              <w:rPr>
                <w:rFonts w:ascii="Times New Roman" w:eastAsia="Times New Roman" w:hAnsi="Times New Roman" w:cs="Times New Roman"/>
                <w:color w:val="000000"/>
                <w:sz w:val="24"/>
                <w:szCs w:val="24"/>
              </w:rPr>
              <w:t>tora prin prisma sporirii securități energetice a statului și cu un impact pozitiv asupra consumatorilor și a mediului înconjurător.</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4"/>
                <w:szCs w:val="24"/>
              </w:rPr>
              <w:lastRenderedPageBreak/>
              <w:t>5.</w:t>
            </w:r>
            <w:r>
              <w:rPr>
                <w:rFonts w:ascii="Times New Roman" w:eastAsia="Times New Roman" w:hAnsi="Times New Roman" w:cs="Times New Roman"/>
                <w:color w:val="000000"/>
                <w:sz w:val="24"/>
                <w:szCs w:val="24"/>
              </w:rPr>
              <w:t xml:space="preserve"> Fundamentarea </w:t>
            </w:r>
            <w:proofErr w:type="spellStart"/>
            <w:r>
              <w:rPr>
                <w:rFonts w:ascii="Times New Roman" w:eastAsia="Times New Roman" w:hAnsi="Times New Roman" w:cs="Times New Roman"/>
                <w:color w:val="000000"/>
                <w:sz w:val="24"/>
                <w:szCs w:val="24"/>
              </w:rPr>
              <w:t>economico</w:t>
            </w:r>
            <w:proofErr w:type="spellEnd"/>
            <w:r>
              <w:rPr>
                <w:rFonts w:ascii="Times New Roman" w:eastAsia="Times New Roman" w:hAnsi="Times New Roman" w:cs="Times New Roman"/>
                <w:color w:val="000000"/>
                <w:sz w:val="24"/>
                <w:szCs w:val="24"/>
              </w:rPr>
              <w:t>-financiară</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Aprobarea proiectului nu va necesita cheltuieli financiare și alocarea mijloacelor </w:t>
            </w:r>
            <w:r>
              <w:rPr>
                <w:rFonts w:ascii="Times New Roman" w:eastAsia="Times New Roman" w:hAnsi="Times New Roman" w:cs="Times New Roman"/>
                <w:color w:val="000000"/>
                <w:sz w:val="24"/>
                <w:szCs w:val="24"/>
              </w:rPr>
              <w:t>financiare suplimentare de la bugetul de stat.</w:t>
            </w:r>
          </w:p>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Costurile privind conectarea/reconectarea clădirilor autorităților și instituțiilor publice și altor potențiali consumatori la sistemul de alimentare centralizată cu energie termică vor fi suportate de unități</w:t>
            </w:r>
            <w:r>
              <w:rPr>
                <w:rFonts w:ascii="Times New Roman" w:eastAsia="Times New Roman" w:hAnsi="Times New Roman" w:cs="Times New Roman"/>
                <w:color w:val="000000"/>
                <w:sz w:val="24"/>
                <w:szCs w:val="24"/>
              </w:rPr>
              <w:t>le termoenergetice din Chișinău și respectiv Bălți – Termoelectrica SA și CET Nord S.A.</w:t>
            </w:r>
          </w:p>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Eventuale costuri financiare bugetare, care urmează a fi suportate de APL unde există sisteme de alimentare centralizată cu energie termică, cum ar fi Primăria mun. Chi</w:t>
            </w:r>
            <w:r>
              <w:rPr>
                <w:rFonts w:ascii="Times New Roman" w:eastAsia="Times New Roman" w:hAnsi="Times New Roman" w:cs="Times New Roman"/>
                <w:sz w:val="24"/>
                <w:szCs w:val="24"/>
              </w:rPr>
              <w:t xml:space="preserve">șinău și Bălți, sunt costurile aferente elaborării studiilor de fezabilitate privind dezvoltarea regională care vor sta la baza aprobării zonele unitare de alimentare cu energie termică, acestea urmând a fi fiind estimate la etapa de elaborare a caietelor </w:t>
            </w:r>
            <w:r>
              <w:rPr>
                <w:rFonts w:ascii="Times New Roman" w:eastAsia="Times New Roman" w:hAnsi="Times New Roman" w:cs="Times New Roman"/>
                <w:sz w:val="24"/>
                <w:szCs w:val="24"/>
              </w:rPr>
              <w:t xml:space="preserve">de sarcini, cele mai mari costuri urmând să le suporte Primăria mun. Chișinău, în aria căreia există cel mai mare sistem de alimentare centralizat cu energie termică din țară.  </w:t>
            </w:r>
          </w:p>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În ceea ce privește impactul ce urmează să-l obținem ca rezultat al conectării</w:t>
            </w:r>
            <w:r>
              <w:rPr>
                <w:rFonts w:ascii="Times New Roman" w:eastAsia="Times New Roman" w:hAnsi="Times New Roman" w:cs="Times New Roman"/>
                <w:sz w:val="24"/>
                <w:szCs w:val="24"/>
              </w:rPr>
              <w:t xml:space="preserve">/reconectării </w:t>
            </w:r>
            <w:r>
              <w:rPr>
                <w:rFonts w:ascii="Times New Roman" w:eastAsia="Times New Roman" w:hAnsi="Times New Roman" w:cs="Times New Roman"/>
                <w:color w:val="000000"/>
                <w:sz w:val="24"/>
                <w:szCs w:val="24"/>
              </w:rPr>
              <w:t xml:space="preserve">clădirilor autorităților și instituțiilor publice precum și a altor </w:t>
            </w:r>
            <w:proofErr w:type="spellStart"/>
            <w:r>
              <w:rPr>
                <w:rFonts w:ascii="Times New Roman" w:eastAsia="Times New Roman" w:hAnsi="Times New Roman" w:cs="Times New Roman"/>
                <w:color w:val="000000"/>
                <w:sz w:val="24"/>
                <w:szCs w:val="24"/>
              </w:rPr>
              <w:t>potențili</w:t>
            </w:r>
            <w:proofErr w:type="spellEnd"/>
            <w:r>
              <w:rPr>
                <w:rFonts w:ascii="Times New Roman" w:eastAsia="Times New Roman" w:hAnsi="Times New Roman" w:cs="Times New Roman"/>
                <w:color w:val="000000"/>
                <w:sz w:val="24"/>
                <w:szCs w:val="24"/>
              </w:rPr>
              <w:t xml:space="preserve"> consumatori la sistemul de alimentare centralizat cu energie termică, mai jos sunt prezentate argumentele care vin să susțină </w:t>
            </w:r>
            <w:r>
              <w:rPr>
                <w:rFonts w:ascii="Times New Roman" w:eastAsia="Times New Roman" w:hAnsi="Times New Roman" w:cs="Times New Roman"/>
                <w:sz w:val="24"/>
                <w:szCs w:val="24"/>
              </w:rPr>
              <w:t>imperativul de conectare „necondiționa</w:t>
            </w:r>
            <w:r>
              <w:rPr>
                <w:rFonts w:ascii="Times New Roman" w:eastAsia="Times New Roman" w:hAnsi="Times New Roman" w:cs="Times New Roman"/>
                <w:sz w:val="24"/>
                <w:szCs w:val="24"/>
              </w:rPr>
              <w:t xml:space="preserve">tă” a clădirilor la SACET din mun. Chișinău și mun. Bălți, după cum urmează: </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Onorarea angajamentelor Guvernului</w:t>
            </w:r>
            <w:r>
              <w:rPr>
                <w:rFonts w:ascii="Times New Roman" w:eastAsia="Times New Roman" w:hAnsi="Times New Roman" w:cs="Times New Roman"/>
                <w:color w:val="000000"/>
                <w:sz w:val="24"/>
                <w:szCs w:val="24"/>
              </w:rPr>
              <w:t xml:space="preserve"> de conectare a unei liste de clădiri publice la SACET asumate în fața Partenerilor de Dezvoltare (i.e. Componenta 1.3 a Proiectului de îmbunătățire a eficienței SACET Chișinău, finanțat de Banca Mondială și implementat în perioada 2015-2020);</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Promovarea r</w:t>
            </w:r>
            <w:r>
              <w:rPr>
                <w:rFonts w:ascii="Times New Roman" w:eastAsia="Times New Roman" w:hAnsi="Times New Roman" w:cs="Times New Roman"/>
                <w:b/>
                <w:color w:val="000000"/>
                <w:sz w:val="24"/>
                <w:szCs w:val="24"/>
              </w:rPr>
              <w:t>olului exemplar al clădirilor publice</w:t>
            </w:r>
            <w:r>
              <w:rPr>
                <w:rFonts w:ascii="Times New Roman" w:eastAsia="Times New Roman" w:hAnsi="Times New Roman" w:cs="Times New Roman"/>
                <w:color w:val="000000"/>
                <w:sz w:val="24"/>
                <w:szCs w:val="24"/>
              </w:rPr>
              <w:t>, și de altfel, implementarea prevederilor Legii 139/2018 cu privire la eficiența energetică (art. 14);</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Reducerea emisiilor</w:t>
            </w:r>
            <w:r>
              <w:rPr>
                <w:rFonts w:ascii="Times New Roman" w:eastAsia="Times New Roman" w:hAnsi="Times New Roman" w:cs="Times New Roman"/>
                <w:color w:val="000000"/>
                <w:sz w:val="24"/>
                <w:szCs w:val="24"/>
              </w:rPr>
              <w:t xml:space="preserve"> de gaze cu efect de seră în valoare de </w:t>
            </w:r>
            <w:r>
              <w:rPr>
                <w:rFonts w:ascii="Times New Roman" w:eastAsia="Times New Roman" w:hAnsi="Times New Roman" w:cs="Times New Roman"/>
                <w:b/>
                <w:color w:val="000000"/>
                <w:sz w:val="24"/>
                <w:szCs w:val="24"/>
              </w:rPr>
              <w:t>8.848,09 tone CO</w:t>
            </w:r>
            <w:r>
              <w:rPr>
                <w:rFonts w:ascii="Times New Roman" w:eastAsia="Times New Roman" w:hAnsi="Times New Roman" w:cs="Times New Roman"/>
                <w:b/>
                <w:color w:val="000000"/>
                <w:sz w:val="24"/>
                <w:szCs w:val="24"/>
                <w:vertAlign w:val="subscript"/>
              </w:rPr>
              <w:t xml:space="preserve">2 </w:t>
            </w:r>
            <w:proofErr w:type="spellStart"/>
            <w:r>
              <w:rPr>
                <w:rFonts w:ascii="Times New Roman" w:eastAsia="Times New Roman" w:hAnsi="Times New Roman" w:cs="Times New Roman"/>
                <w:b/>
                <w:color w:val="000000"/>
                <w:sz w:val="24"/>
                <w:szCs w:val="24"/>
                <w:vertAlign w:val="subscript"/>
              </w:rPr>
              <w:t>eq</w:t>
            </w:r>
            <w:proofErr w:type="spellEnd"/>
            <w:r>
              <w:rPr>
                <w:rFonts w:ascii="Times New Roman" w:eastAsia="Times New Roman" w:hAnsi="Times New Roman" w:cs="Times New Roman"/>
                <w:b/>
                <w:color w:val="000000"/>
                <w:sz w:val="24"/>
                <w:szCs w:val="24"/>
                <w:vertAlign w:val="subscript"/>
              </w:rPr>
              <w:t>.</w:t>
            </w:r>
            <w:r>
              <w:rPr>
                <w:rFonts w:ascii="Times New Roman" w:eastAsia="Times New Roman" w:hAnsi="Times New Roman" w:cs="Times New Roman"/>
                <w:b/>
                <w:color w:val="000000"/>
                <w:sz w:val="24"/>
                <w:szCs w:val="24"/>
              </w:rPr>
              <w:t>;</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Îmbunătățirea calității aerului</w:t>
            </w:r>
            <w:r>
              <w:rPr>
                <w:rFonts w:ascii="Times New Roman" w:eastAsia="Times New Roman" w:hAnsi="Times New Roman" w:cs="Times New Roman"/>
                <w:color w:val="000000"/>
                <w:sz w:val="24"/>
                <w:szCs w:val="24"/>
              </w:rPr>
              <w:t xml:space="preserve"> în municipiile vizate datorită reducerii/ eliminării surselor de poluare individuale de pe lângă instituțiile publice; </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Creșterea sarcinii globale de energie termică</w:t>
            </w:r>
            <w:r>
              <w:rPr>
                <w:rFonts w:ascii="Times New Roman" w:eastAsia="Times New Roman" w:hAnsi="Times New Roman" w:cs="Times New Roman"/>
                <w:color w:val="000000"/>
                <w:sz w:val="24"/>
                <w:szCs w:val="24"/>
              </w:rPr>
              <w:t xml:space="preserve"> a CET-urilor, reducerea componentei de cheltuieli fixe din tarif și, ca rezultat, crearea</w:t>
            </w:r>
            <w:r>
              <w:rPr>
                <w:rFonts w:ascii="Times New Roman" w:eastAsia="Times New Roman" w:hAnsi="Times New Roman" w:cs="Times New Roman"/>
                <w:color w:val="000000"/>
                <w:sz w:val="24"/>
                <w:szCs w:val="24"/>
              </w:rPr>
              <w:t xml:space="preserve"> premiselor pentru reducerea tarifelor la consumatorul casnic;</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Economii de energie primară</w:t>
            </w:r>
            <w:r>
              <w:rPr>
                <w:rFonts w:ascii="Times New Roman" w:eastAsia="Times New Roman" w:hAnsi="Times New Roman" w:cs="Times New Roman"/>
                <w:color w:val="000000"/>
                <w:sz w:val="24"/>
                <w:szCs w:val="24"/>
              </w:rPr>
              <w:t xml:space="preserve"> (gaze naturale) din producerea combinată a energiei termice și electrice în valoare de </w:t>
            </w:r>
            <w:r>
              <w:rPr>
                <w:rFonts w:ascii="Times New Roman" w:eastAsia="Times New Roman" w:hAnsi="Times New Roman" w:cs="Times New Roman"/>
                <w:b/>
                <w:color w:val="000000"/>
                <w:sz w:val="24"/>
                <w:szCs w:val="24"/>
              </w:rPr>
              <w:t>4,7 milioane m</w:t>
            </w:r>
            <w:r>
              <w:rPr>
                <w:rFonts w:ascii="Times New Roman" w:eastAsia="Times New Roman" w:hAnsi="Times New Roman" w:cs="Times New Roman"/>
                <w:b/>
                <w:color w:val="000000"/>
                <w:sz w:val="24"/>
                <w:szCs w:val="24"/>
                <w:vertAlign w:val="superscript"/>
              </w:rPr>
              <w:t>3</w:t>
            </w:r>
            <w:r>
              <w:rPr>
                <w:rFonts w:ascii="Times New Roman" w:eastAsia="Times New Roman" w:hAnsi="Times New Roman" w:cs="Times New Roman"/>
                <w:b/>
                <w:color w:val="000000"/>
                <w:sz w:val="24"/>
                <w:szCs w:val="24"/>
              </w:rPr>
              <w:t>/an</w:t>
            </w:r>
            <w:r>
              <w:rPr>
                <w:rFonts w:ascii="Times New Roman" w:eastAsia="Times New Roman" w:hAnsi="Times New Roman" w:cs="Times New Roman"/>
                <w:b/>
                <w:color w:val="000000"/>
                <w:sz w:val="24"/>
                <w:szCs w:val="24"/>
                <w:vertAlign w:val="superscript"/>
              </w:rPr>
              <w:t xml:space="preserve"> </w:t>
            </w:r>
            <w:r>
              <w:rPr>
                <w:rFonts w:ascii="Times New Roman" w:eastAsia="Times New Roman" w:hAnsi="Times New Roman" w:cs="Times New Roman"/>
                <w:color w:val="000000"/>
                <w:sz w:val="24"/>
                <w:szCs w:val="24"/>
              </w:rPr>
              <w:t>;</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Livrări suplimentare de energie electrică</w:t>
            </w:r>
            <w:r>
              <w:rPr>
                <w:rFonts w:ascii="Times New Roman" w:eastAsia="Times New Roman" w:hAnsi="Times New Roman" w:cs="Times New Roman"/>
                <w:color w:val="000000"/>
                <w:sz w:val="24"/>
                <w:szCs w:val="24"/>
              </w:rPr>
              <w:t xml:space="preserve"> în valoare de </w:t>
            </w: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7,73 milioane kWh/an</w:t>
            </w:r>
            <w:r>
              <w:rPr>
                <w:rFonts w:ascii="Times New Roman" w:eastAsia="Times New Roman" w:hAnsi="Times New Roman" w:cs="Times New Roman"/>
                <w:color w:val="000000"/>
                <w:sz w:val="24"/>
                <w:szCs w:val="24"/>
              </w:rPr>
              <w:t xml:space="preserve"> și, implicit, creșterea gradului de securitate în alimentarea cu energie electrică;</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Livrări suplimentare de energie termică</w:t>
            </w:r>
            <w:r>
              <w:rPr>
                <w:rFonts w:ascii="Times New Roman" w:eastAsia="Times New Roman" w:hAnsi="Times New Roman" w:cs="Times New Roman"/>
                <w:color w:val="000000"/>
                <w:sz w:val="24"/>
                <w:szCs w:val="24"/>
              </w:rPr>
              <w:t xml:space="preserve"> în valoare de </w:t>
            </w:r>
            <w:r>
              <w:rPr>
                <w:rFonts w:ascii="Times New Roman" w:eastAsia="Times New Roman" w:hAnsi="Times New Roman" w:cs="Times New Roman"/>
                <w:b/>
                <w:color w:val="000000"/>
                <w:sz w:val="24"/>
                <w:szCs w:val="24"/>
              </w:rPr>
              <w:t>66,86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mii Gcal/an</w:t>
            </w:r>
            <w:r>
              <w:rPr>
                <w:rFonts w:ascii="Times New Roman" w:eastAsia="Times New Roman" w:hAnsi="Times New Roman" w:cs="Times New Roman"/>
                <w:color w:val="000000"/>
                <w:sz w:val="24"/>
                <w:szCs w:val="24"/>
              </w:rPr>
              <w:t>;</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Îmbunătățirea situațiilor financiare</w:t>
            </w:r>
            <w:r>
              <w:rPr>
                <w:rFonts w:ascii="Times New Roman" w:eastAsia="Times New Roman" w:hAnsi="Times New Roman" w:cs="Times New Roman"/>
                <w:color w:val="000000"/>
                <w:sz w:val="24"/>
                <w:szCs w:val="24"/>
              </w:rPr>
              <w:t xml:space="preserve"> la furnizorii de energie termică și, impl</w:t>
            </w:r>
            <w:r>
              <w:rPr>
                <w:rFonts w:ascii="Times New Roman" w:eastAsia="Times New Roman" w:hAnsi="Times New Roman" w:cs="Times New Roman"/>
                <w:color w:val="000000"/>
                <w:sz w:val="24"/>
                <w:szCs w:val="24"/>
              </w:rPr>
              <w:t>icit, majorarea impozitelor în bugetul de stat achitate de către întreprinderi, precum și a dividendelor în bugetul de  stat;</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Creșterea siguranței în edificiile</w:t>
            </w:r>
            <w:r>
              <w:rPr>
                <w:rFonts w:ascii="Times New Roman" w:eastAsia="Times New Roman" w:hAnsi="Times New Roman" w:cs="Times New Roman"/>
                <w:color w:val="000000"/>
                <w:sz w:val="24"/>
                <w:szCs w:val="24"/>
              </w:rPr>
              <w:t xml:space="preserve"> reconectate la SACET, având în vederea că cazanele/ centralele pe gaze naturale ar urma a fi co</w:t>
            </w:r>
            <w:r>
              <w:rPr>
                <w:rFonts w:ascii="Times New Roman" w:eastAsia="Times New Roman" w:hAnsi="Times New Roman" w:cs="Times New Roman"/>
                <w:color w:val="000000"/>
                <w:sz w:val="24"/>
                <w:szCs w:val="24"/>
              </w:rPr>
              <w:t>nservate;</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Restabilirea</w:t>
            </w:r>
            <w:r>
              <w:rPr>
                <w:rFonts w:ascii="Times New Roman" w:eastAsia="Times New Roman" w:hAnsi="Times New Roman" w:cs="Times New Roman"/>
                <w:color w:val="000000"/>
                <w:sz w:val="24"/>
                <w:szCs w:val="24"/>
              </w:rPr>
              <w:t xml:space="preserve"> (în cazuri specifice) </w:t>
            </w:r>
            <w:r>
              <w:rPr>
                <w:rFonts w:ascii="Times New Roman" w:eastAsia="Times New Roman" w:hAnsi="Times New Roman" w:cs="Times New Roman"/>
                <w:b/>
                <w:color w:val="000000"/>
                <w:sz w:val="24"/>
                <w:szCs w:val="24"/>
              </w:rPr>
              <w:t>serviciului de alimentare cu apă caldă menajeră</w:t>
            </w:r>
            <w:r>
              <w:rPr>
                <w:rFonts w:ascii="Times New Roman" w:eastAsia="Times New Roman" w:hAnsi="Times New Roman" w:cs="Times New Roman"/>
                <w:color w:val="000000"/>
                <w:sz w:val="24"/>
                <w:szCs w:val="24"/>
              </w:rPr>
              <w:t xml:space="preserve"> și, totodată, reducerea costului pentru acest serviciu (în comparație cu prepararea apei calde menajere în unități electrice);</w:t>
            </w:r>
          </w:p>
          <w:p w:rsidR="00E956A1" w:rsidRDefault="005276A0">
            <w:pPr>
              <w:numPr>
                <w:ilvl w:val="0"/>
                <w:numId w:val="2"/>
              </w:numPr>
              <w:pBdr>
                <w:top w:val="nil"/>
                <w:left w:val="nil"/>
                <w:bottom w:val="nil"/>
                <w:right w:val="nil"/>
                <w:between w:val="nil"/>
              </w:pBdr>
              <w:spacing w:before="120" w:after="12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Utilizarea Punctelor Termice Individuale /PTI/ prezintă o serie de avantaje</w:t>
            </w:r>
            <w:r>
              <w:rPr>
                <w:rFonts w:ascii="Times New Roman" w:eastAsia="Times New Roman" w:hAnsi="Times New Roman" w:cs="Times New Roman"/>
                <w:color w:val="000000"/>
                <w:sz w:val="24"/>
                <w:szCs w:val="24"/>
              </w:rPr>
              <w:t xml:space="preserve"> (versus opțiunea de utilizare a elevatoarelor sau surselor proprii de încălzire) precum ar fi, i) flexibilitatea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eficiență înaltă la utilizării energiei termice indiferent de pe</w:t>
            </w:r>
            <w:r>
              <w:rPr>
                <w:rFonts w:ascii="Times New Roman" w:eastAsia="Times New Roman" w:hAnsi="Times New Roman" w:cs="Times New Roman"/>
                <w:color w:val="000000"/>
                <w:sz w:val="24"/>
                <w:szCs w:val="24"/>
              </w:rPr>
              <w:t xml:space="preserve">rioada anului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de sarcina termică necesară, ii) excluderea fenomenului de „supraîncălzire” a clădirilor la începutul și sfârșitul sezonului de încălzire, iii) disponibilitatea ACM pe durata întregului an, iv) excluderea cheltuielilor și a eforturilor afe</w:t>
            </w:r>
            <w:r>
              <w:rPr>
                <w:rFonts w:ascii="Times New Roman" w:eastAsia="Times New Roman" w:hAnsi="Times New Roman" w:cs="Times New Roman"/>
                <w:color w:val="000000"/>
                <w:sz w:val="24"/>
                <w:szCs w:val="24"/>
              </w:rPr>
              <w:t>rente, de pe urma utilizării PTI, pentru consumatorul final;</w:t>
            </w:r>
          </w:p>
          <w:p w:rsidR="00E956A1" w:rsidRDefault="005276A0">
            <w:pPr>
              <w:numPr>
                <w:ilvl w:val="0"/>
                <w:numId w:val="2"/>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Siguranță sporită în alimentarea cu energie termică </w:t>
            </w:r>
            <w:r>
              <w:rPr>
                <w:rFonts w:ascii="Times New Roman" w:eastAsia="Times New Roman" w:hAnsi="Times New Roman" w:cs="Times New Roman"/>
                <w:color w:val="000000"/>
                <w:sz w:val="24"/>
                <w:szCs w:val="24"/>
              </w:rPr>
              <w:t>a instituțiilor publice având în vedere accesul furnizorilor (cazul S.A. „Termoelectrica”) la combustibili alternativi (i.e. păcura) și/ sau includerea acestora (cazul S.A. „CET Nord”) în lista consumatorilor „protejați”</w:t>
            </w:r>
          </w:p>
          <w:p w:rsidR="00E956A1" w:rsidRDefault="005276A0">
            <w:pPr>
              <w:spacing w:before="120" w:after="120" w:line="276" w:lineRule="auto"/>
              <w:ind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același timp, având în vedere pr</w:t>
            </w:r>
            <w:r>
              <w:rPr>
                <w:rFonts w:ascii="Times New Roman" w:eastAsia="Times New Roman" w:hAnsi="Times New Roman" w:cs="Times New Roman"/>
                <w:sz w:val="24"/>
                <w:szCs w:val="24"/>
              </w:rPr>
              <w:t xml:space="preserve">evederile Proiectului </w:t>
            </w:r>
            <w:proofErr w:type="spellStart"/>
            <w:r>
              <w:rPr>
                <w:rFonts w:ascii="Times New Roman" w:eastAsia="Times New Roman" w:hAnsi="Times New Roman" w:cs="Times New Roman"/>
                <w:sz w:val="24"/>
                <w:szCs w:val="24"/>
              </w:rPr>
              <w:t>Hotărîrii</w:t>
            </w:r>
            <w:proofErr w:type="spellEnd"/>
            <w:r>
              <w:rPr>
                <w:rFonts w:ascii="Times New Roman" w:eastAsia="Times New Roman" w:hAnsi="Times New Roman" w:cs="Times New Roman"/>
                <w:sz w:val="24"/>
                <w:szCs w:val="24"/>
              </w:rPr>
              <w:t xml:space="preserve"> de Guvern cu privire la implementarea unor măsuri de promovare a sistemului de alimentare centralizată cu energie termică, prin care a fost elaborată o listă a obiectivelor publice care urmează a consuma energie termică de l</w:t>
            </w:r>
            <w:r>
              <w:rPr>
                <w:rFonts w:ascii="Times New Roman" w:eastAsia="Times New Roman" w:hAnsi="Times New Roman" w:cs="Times New Roman"/>
                <w:sz w:val="24"/>
                <w:szCs w:val="24"/>
              </w:rPr>
              <w:t>a sistemul de alimentare centralizat cu energie termică din mun. Chișinău și mun. Bălți, prezentul proiect de lege vine cu o abordare mai largă în acest sens prin promovarea dezvoltării SACET în raza zonelor unitare de alimentare cu energie termică stabili</w:t>
            </w:r>
            <w:r>
              <w:rPr>
                <w:rFonts w:ascii="Times New Roman" w:eastAsia="Times New Roman" w:hAnsi="Times New Roman" w:cs="Times New Roman"/>
                <w:sz w:val="24"/>
                <w:szCs w:val="24"/>
              </w:rPr>
              <w:t xml:space="preserve">te de către autoritățile administrației publice locale, creând premise  în vederea promovării și construcției acestora la nivel național.   </w:t>
            </w:r>
          </w:p>
          <w:p w:rsidR="00E956A1" w:rsidRDefault="005276A0">
            <w:pPr>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Astfel, reieșind din disponibilitatea datelor, informațiile prezentate mai sus cu privire la Reducerea emisiilor de</w:t>
            </w:r>
            <w:r>
              <w:rPr>
                <w:rFonts w:ascii="Times New Roman" w:eastAsia="Times New Roman" w:hAnsi="Times New Roman" w:cs="Times New Roman"/>
                <w:sz w:val="24"/>
                <w:szCs w:val="24"/>
              </w:rPr>
              <w:t xml:space="preserve"> gaze cu efect de seră, economii de energie primară (gaze naturale) din producerea combinată a energiei termice și electrice, livrările suplimentare de energie termică și electrică, au fost calculate doar pentru cele peste 70 de edificii publice, care sunt</w:t>
            </w:r>
            <w:r>
              <w:rPr>
                <w:rFonts w:ascii="Times New Roman" w:eastAsia="Times New Roman" w:hAnsi="Times New Roman" w:cs="Times New Roman"/>
                <w:sz w:val="24"/>
                <w:szCs w:val="24"/>
              </w:rPr>
              <w:t xml:space="preserve"> parte 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Proiectului </w:t>
            </w:r>
            <w:proofErr w:type="spellStart"/>
            <w:r>
              <w:rPr>
                <w:rFonts w:ascii="Times New Roman" w:eastAsia="Times New Roman" w:hAnsi="Times New Roman" w:cs="Times New Roman"/>
                <w:sz w:val="24"/>
                <w:szCs w:val="24"/>
              </w:rPr>
              <w:t>Hotărîrii</w:t>
            </w:r>
            <w:proofErr w:type="spellEnd"/>
            <w:r>
              <w:rPr>
                <w:rFonts w:ascii="Times New Roman" w:eastAsia="Times New Roman" w:hAnsi="Times New Roman" w:cs="Times New Roman"/>
                <w:sz w:val="24"/>
                <w:szCs w:val="24"/>
              </w:rPr>
              <w:t xml:space="preserve"> de Guvern cu privire la implementarea unor măsuri de promovare a sistemului de alimentare centralizată cu </w:t>
            </w:r>
            <w:r>
              <w:rPr>
                <w:rFonts w:ascii="Times New Roman" w:eastAsia="Times New Roman" w:hAnsi="Times New Roman" w:cs="Times New Roman"/>
                <w:sz w:val="24"/>
                <w:szCs w:val="24"/>
              </w:rPr>
              <w:lastRenderedPageBreak/>
              <w:t>energie termică, acestea urmând a fi mai mari în contextul altor consumatori ce urmează a fi conectați la SACET în con</w:t>
            </w:r>
            <w:r>
              <w:rPr>
                <w:rFonts w:ascii="Times New Roman" w:eastAsia="Times New Roman" w:hAnsi="Times New Roman" w:cs="Times New Roman"/>
                <w:sz w:val="24"/>
                <w:szCs w:val="24"/>
              </w:rPr>
              <w:t xml:space="preserve">dițiile legii.   </w:t>
            </w:r>
          </w:p>
          <w:p w:rsidR="00E956A1" w:rsidRDefault="005276A0">
            <w:pPr>
              <w:spacing w:line="276" w:lineRule="auto"/>
              <w:ind w:right="-48"/>
              <w:rPr>
                <w:sz w:val="24"/>
                <w:szCs w:val="24"/>
              </w:rPr>
            </w:pPr>
            <w:r>
              <w:rPr>
                <w:rFonts w:ascii="Times New Roman" w:eastAsia="Times New Roman" w:hAnsi="Times New Roman" w:cs="Times New Roman"/>
                <w:sz w:val="24"/>
                <w:szCs w:val="24"/>
              </w:rPr>
              <w:t>Totodată merită de menționat faptul că printre argumentele bază pentru reconectarea la SACET, pentru consumatorii de energie termică neconectați și care utilizează propriile centrale termice pe gaze naturale, pe lângă motive de securitate</w:t>
            </w:r>
            <w:r>
              <w:rPr>
                <w:rFonts w:ascii="Times New Roman" w:eastAsia="Times New Roman" w:hAnsi="Times New Roman" w:cs="Times New Roman"/>
                <w:sz w:val="24"/>
                <w:szCs w:val="24"/>
              </w:rPr>
              <w:t xml:space="preserve"> și de mediu, este unul de natură pur economică. Tabelul de mai jos justifică diferența de cost dintre ambele opțiuni de încălzire disponibile la zi.</w:t>
            </w:r>
            <w:r>
              <w:rPr>
                <w:sz w:val="24"/>
                <w:szCs w:val="24"/>
              </w:rPr>
              <w:t xml:space="preserve"> </w:t>
            </w:r>
          </w:p>
          <w:tbl>
            <w:tblPr>
              <w:tblStyle w:val="a0"/>
              <w:tblW w:w="81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3690"/>
              <w:gridCol w:w="3879"/>
            </w:tblGrid>
            <w:tr w:rsidR="00E956A1">
              <w:trPr>
                <w:jc w:val="center"/>
              </w:trPr>
              <w:tc>
                <w:tcPr>
                  <w:tcW w:w="535" w:type="dxa"/>
                  <w:tcBorders>
                    <w:top w:val="single" w:sz="12" w:space="0" w:color="000000"/>
                    <w:bottom w:val="single" w:sz="12" w:space="0" w:color="000000"/>
                  </w:tcBorders>
                  <w:shd w:val="clear" w:color="auto" w:fill="BDD7EE"/>
                  <w:vAlign w:val="center"/>
                </w:tcPr>
                <w:p w:rsidR="00E956A1" w:rsidRDefault="005276A0">
                  <w:pPr>
                    <w:tabs>
                      <w:tab w:val="center" w:pos="0"/>
                      <w:tab w:val="center" w:pos="43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690" w:type="dxa"/>
                  <w:tcBorders>
                    <w:top w:val="single" w:sz="12" w:space="0" w:color="000000"/>
                    <w:bottom w:val="single" w:sz="12" w:space="0" w:color="000000"/>
                  </w:tcBorders>
                  <w:shd w:val="clear" w:color="auto" w:fill="BDD7EE"/>
                  <w:vAlign w:val="center"/>
                </w:tcPr>
                <w:p w:rsidR="00E956A1" w:rsidRDefault="005276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Sursa de alimentare </w:t>
                  </w:r>
                  <w:r>
                    <w:rPr>
                      <w:rFonts w:ascii="Times New Roman" w:eastAsia="Times New Roman" w:hAnsi="Times New Roman" w:cs="Times New Roman"/>
                      <w:b/>
                      <w:sz w:val="24"/>
                      <w:szCs w:val="24"/>
                    </w:rPr>
                    <w:br/>
                    <w:t>cu energie termică</w:t>
                  </w:r>
                </w:p>
              </w:tc>
              <w:tc>
                <w:tcPr>
                  <w:tcW w:w="3879" w:type="dxa"/>
                  <w:tcBorders>
                    <w:top w:val="single" w:sz="12" w:space="0" w:color="000000"/>
                    <w:bottom w:val="single" w:sz="12" w:space="0" w:color="000000"/>
                  </w:tcBorders>
                  <w:shd w:val="clear" w:color="auto" w:fill="BDD7EE"/>
                  <w:vAlign w:val="center"/>
                </w:tcPr>
                <w:p w:rsidR="00E956A1" w:rsidRDefault="005276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Costul serviciului</w:t>
                  </w:r>
                  <w:r>
                    <w:rPr>
                      <w:rFonts w:ascii="Times New Roman" w:eastAsia="Times New Roman" w:hAnsi="Times New Roman" w:cs="Times New Roman"/>
                      <w:b/>
                      <w:sz w:val="24"/>
                      <w:szCs w:val="24"/>
                    </w:rPr>
                    <w:br/>
                    <w:t>MDL/ Gcal</w:t>
                  </w:r>
                </w:p>
              </w:tc>
            </w:tr>
            <w:tr w:rsidR="00E956A1">
              <w:trPr>
                <w:jc w:val="center"/>
              </w:trPr>
              <w:tc>
                <w:tcPr>
                  <w:tcW w:w="535" w:type="dxa"/>
                  <w:tcBorders>
                    <w:top w:val="single" w:sz="12" w:space="0" w:color="000000"/>
                  </w:tcBorders>
                  <w:vAlign w:val="center"/>
                </w:tcPr>
                <w:p w:rsidR="00E956A1" w:rsidRDefault="005276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690" w:type="dxa"/>
                  <w:tcBorders>
                    <w:top w:val="single" w:sz="12" w:space="0" w:color="000000"/>
                  </w:tcBorders>
                </w:tcPr>
                <w:p w:rsidR="00E956A1" w:rsidRDefault="005276A0">
                  <w:pPr>
                    <w:ind w:right="-604"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S.A. „Termoelectrica”</w:t>
                  </w:r>
                </w:p>
              </w:tc>
              <w:tc>
                <w:tcPr>
                  <w:tcW w:w="3879" w:type="dxa"/>
                  <w:tcBorders>
                    <w:top w:val="single" w:sz="12" w:space="0" w:color="000000"/>
                  </w:tcBorders>
                </w:tcPr>
                <w:p w:rsidR="00E956A1" w:rsidRDefault="005276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2.774 MDL/Gcal</w:t>
                  </w:r>
                </w:p>
              </w:tc>
            </w:tr>
            <w:tr w:rsidR="00E956A1">
              <w:trPr>
                <w:jc w:val="center"/>
              </w:trPr>
              <w:tc>
                <w:tcPr>
                  <w:tcW w:w="535" w:type="dxa"/>
                  <w:vAlign w:val="center"/>
                </w:tcPr>
                <w:p w:rsidR="00E956A1" w:rsidRDefault="005276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690" w:type="dxa"/>
                </w:tcPr>
                <w:p w:rsidR="00E956A1" w:rsidRDefault="005276A0">
                  <w:pPr>
                    <w:ind w:right="-604"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S.A. „CET-Nord”</w:t>
                  </w:r>
                </w:p>
              </w:tc>
              <w:tc>
                <w:tcPr>
                  <w:tcW w:w="3879" w:type="dxa"/>
                </w:tcPr>
                <w:p w:rsidR="00E956A1" w:rsidRDefault="005276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3.215 MDL/Gcal</w:t>
                  </w:r>
                </w:p>
              </w:tc>
            </w:tr>
            <w:tr w:rsidR="00E956A1">
              <w:trPr>
                <w:jc w:val="center"/>
              </w:trPr>
              <w:tc>
                <w:tcPr>
                  <w:tcW w:w="535" w:type="dxa"/>
                  <w:tcBorders>
                    <w:bottom w:val="single" w:sz="12" w:space="0" w:color="000000"/>
                  </w:tcBorders>
                  <w:vAlign w:val="center"/>
                </w:tcPr>
                <w:p w:rsidR="00E956A1" w:rsidRDefault="005276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690" w:type="dxa"/>
                  <w:tcBorders>
                    <w:bottom w:val="single" w:sz="12" w:space="0" w:color="000000"/>
                  </w:tcBorders>
                </w:tcPr>
                <w:p w:rsidR="00E956A1" w:rsidRDefault="005276A0">
                  <w:pPr>
                    <w:ind w:right="-604"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Sursa proprie de alimentare cu ET*</w:t>
                  </w:r>
                </w:p>
              </w:tc>
              <w:tc>
                <w:tcPr>
                  <w:tcW w:w="3879" w:type="dxa"/>
                  <w:tcBorders>
                    <w:bottom w:val="single" w:sz="12" w:space="0" w:color="000000"/>
                  </w:tcBorders>
                </w:tcPr>
                <w:p w:rsidR="00E956A1" w:rsidRDefault="005276A0">
                  <w:pPr>
                    <w:ind w:firstLine="430"/>
                    <w:jc w:val="cente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&gt; 3510 MDL/ Gcal**</w:t>
                  </w:r>
                </w:p>
              </w:tc>
            </w:tr>
          </w:tbl>
          <w:p w:rsidR="00E956A1" w:rsidRDefault="005276A0">
            <w:pPr>
              <w:ind w:right="-6"/>
              <w:rPr>
                <w:rFonts w:ascii="Times New Roman" w:eastAsia="Times New Roman" w:hAnsi="Times New Roman" w:cs="Times New Roman"/>
              </w:rPr>
            </w:pPr>
            <w:r>
              <w:rPr>
                <w:rFonts w:ascii="Times New Roman" w:eastAsia="Times New Roman" w:hAnsi="Times New Roman" w:cs="Times New Roman"/>
                <w:b/>
                <w:i/>
              </w:rPr>
              <w:t>Notă:</w:t>
            </w:r>
            <w:r>
              <w:rPr>
                <w:rFonts w:ascii="Times New Roman" w:eastAsia="Times New Roman" w:hAnsi="Times New Roman" w:cs="Times New Roman"/>
                <w:i/>
              </w:rPr>
              <w:br/>
              <w:t>*</w:t>
            </w:r>
            <w:r>
              <w:rPr>
                <w:rFonts w:ascii="Times New Roman" w:eastAsia="Times New Roman" w:hAnsi="Times New Roman" w:cs="Times New Roman"/>
              </w:rPr>
              <w:t xml:space="preserve"> - costul respectiv este estimat având în vedere ipoteza unui tarif la gazele naturale (presiune joasă) de </w:t>
            </w:r>
            <w:r>
              <w:rPr>
                <w:rFonts w:ascii="Times New Roman" w:eastAsia="Times New Roman" w:hAnsi="Times New Roman" w:cs="Times New Roman"/>
              </w:rPr>
              <w:br/>
              <w:t>16,73 MDL/ m</w:t>
            </w:r>
            <w:r>
              <w:rPr>
                <w:rFonts w:ascii="Times New Roman" w:eastAsia="Times New Roman" w:hAnsi="Times New Roman" w:cs="Times New Roman"/>
                <w:vertAlign w:val="superscript"/>
              </w:rPr>
              <w:t xml:space="preserve">3 </w:t>
            </w:r>
            <w:r>
              <w:rPr>
                <w:rFonts w:ascii="Times New Roman" w:eastAsia="Times New Roman" w:hAnsi="Times New Roman" w:cs="Times New Roman"/>
              </w:rPr>
              <w:t>(inclusiv TVA de 8%), un randament mediu anual al surselor pe gaze naturale de 80%.</w:t>
            </w:r>
          </w:p>
          <w:p w:rsidR="00E956A1" w:rsidRDefault="005276A0">
            <w:pPr>
              <w:ind w:right="-6"/>
              <w:rPr>
                <w:rFonts w:ascii="Times New Roman" w:eastAsia="Times New Roman" w:hAnsi="Times New Roman" w:cs="Times New Roman"/>
              </w:rPr>
            </w:pPr>
            <w:r>
              <w:rPr>
                <w:rFonts w:ascii="Times New Roman" w:eastAsia="Times New Roman" w:hAnsi="Times New Roman" w:cs="Times New Roman"/>
              </w:rPr>
              <w:t xml:space="preserve">** - calculul corect al costului unei Gcal produs de o sursă individuală de încălzire ar urmă să includă și următoarele componente obligatorii, precum ar fi </w:t>
            </w:r>
            <w:r>
              <w:rPr>
                <w:rFonts w:ascii="Times New Roman" w:eastAsia="Times New Roman" w:hAnsi="Times New Roman" w:cs="Times New Roman"/>
                <w:i/>
              </w:rPr>
              <w:t>i)</w:t>
            </w:r>
            <w:r>
              <w:rPr>
                <w:rFonts w:ascii="Times New Roman" w:eastAsia="Times New Roman" w:hAnsi="Times New Roman" w:cs="Times New Roman"/>
              </w:rPr>
              <w:t xml:space="preserve"> amortizarea </w:t>
            </w:r>
            <w:r>
              <w:rPr>
                <w:rFonts w:ascii="Times New Roman" w:eastAsia="Times New Roman" w:hAnsi="Times New Roman" w:cs="Times New Roman"/>
              </w:rPr>
              <w:t xml:space="preserve">echipamentului, </w:t>
            </w:r>
            <w:r>
              <w:rPr>
                <w:rFonts w:ascii="Times New Roman" w:eastAsia="Times New Roman" w:hAnsi="Times New Roman" w:cs="Times New Roman"/>
                <w:i/>
              </w:rPr>
              <w:t>ii)</w:t>
            </w:r>
            <w:r>
              <w:rPr>
                <w:rFonts w:ascii="Times New Roman" w:eastAsia="Times New Roman" w:hAnsi="Times New Roman" w:cs="Times New Roman"/>
              </w:rPr>
              <w:t xml:space="preserve"> costuri cu operarea și mentenanța echipamentului (salariile operatorilor, costul pieselor de rezervă, costuri de întreținere și revizie tehnică obligatorie, costuri cu reparație echipamentului, etc).</w:t>
            </w:r>
          </w:p>
          <w:p w:rsidR="00E956A1" w:rsidRDefault="005276A0">
            <w:pP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alt argument care ar veni să susț</w:t>
            </w:r>
            <w:r>
              <w:rPr>
                <w:rFonts w:ascii="Times New Roman" w:eastAsia="Times New Roman" w:hAnsi="Times New Roman" w:cs="Times New Roman"/>
                <w:sz w:val="24"/>
                <w:szCs w:val="24"/>
              </w:rPr>
              <w:t>ină promovarea SACET este că de-a lungul timpului unitățile termoenergetice au contribuit și vor continua să contribuie cu achitarea taxelor la bugetul de stat comparativ cu furnizorul de gaze naturale SA „</w:t>
            </w:r>
            <w:proofErr w:type="spellStart"/>
            <w:r>
              <w:rPr>
                <w:rFonts w:ascii="Times New Roman" w:eastAsia="Times New Roman" w:hAnsi="Times New Roman" w:cs="Times New Roman"/>
                <w:sz w:val="24"/>
                <w:szCs w:val="24"/>
              </w:rPr>
              <w:t>Moldovagaz</w:t>
            </w:r>
            <w:proofErr w:type="spellEnd"/>
            <w:r>
              <w:rPr>
                <w:rFonts w:ascii="Times New Roman" w:eastAsia="Times New Roman" w:hAnsi="Times New Roman" w:cs="Times New Roman"/>
                <w:sz w:val="24"/>
                <w:szCs w:val="24"/>
              </w:rPr>
              <w:t>”, care nu își onorează obligațiile în a</w:t>
            </w:r>
            <w:r>
              <w:rPr>
                <w:rFonts w:ascii="Times New Roman" w:eastAsia="Times New Roman" w:hAnsi="Times New Roman" w:cs="Times New Roman"/>
                <w:sz w:val="24"/>
                <w:szCs w:val="24"/>
              </w:rPr>
              <w:t>cest sens.</w:t>
            </w:r>
          </w:p>
          <w:p w:rsidR="00E956A1" w:rsidRDefault="005276A0">
            <w:pP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Astfel, având în vedere cele menționate mai sus, considerăm că conectarea consumatorilor de energie termică la SACET, conform premiselor descrise în proiectul de lege, este pe deplin justificată.</w:t>
            </w:r>
          </w:p>
          <w:p w:rsidR="00E956A1" w:rsidRDefault="00E956A1">
            <w:pPr>
              <w:spacing w:after="0" w:line="240" w:lineRule="auto"/>
              <w:ind w:right="-6"/>
              <w:jc w:val="both"/>
              <w:rPr>
                <w:rFonts w:ascii="Times New Roman" w:eastAsia="Times New Roman" w:hAnsi="Times New Roman" w:cs="Times New Roman"/>
                <w:sz w:val="24"/>
                <w:szCs w:val="24"/>
              </w:rPr>
            </w:pP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6.</w:t>
            </w:r>
            <w:r>
              <w:rPr>
                <w:rFonts w:ascii="Times New Roman" w:eastAsia="Times New Roman" w:hAnsi="Times New Roman" w:cs="Times New Roman"/>
                <w:color w:val="000000"/>
                <w:sz w:val="24"/>
                <w:szCs w:val="24"/>
              </w:rPr>
              <w:t> Modul de încorporare a actului în cadrul nor</w:t>
            </w:r>
            <w:r>
              <w:rPr>
                <w:rFonts w:ascii="Times New Roman" w:eastAsia="Times New Roman" w:hAnsi="Times New Roman" w:cs="Times New Roman"/>
                <w:color w:val="000000"/>
                <w:sz w:val="24"/>
                <w:szCs w:val="24"/>
              </w:rPr>
              <w:t>mativ în vigoare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pStyle w:val="Titlu2"/>
              <w:spacing w:line="276" w:lineRule="auto"/>
              <w:ind w:firstLine="42"/>
            </w:pPr>
            <w:r>
              <w:t xml:space="preserve">Pentru asigurarea implementării corespunzătoare a </w:t>
            </w:r>
            <w:r>
              <w:rPr>
                <w:highlight w:val="white"/>
              </w:rPr>
              <w:t>proiectului de lege privind modificarea unor acte normative, pe lângă modificările propuse la Legea nr. 92/2014 cu privire la energia termică și promovarea cogenerării sunt necesare modificări la mai multe acte normative.</w:t>
            </w:r>
            <w:r>
              <w:t xml:space="preserve"> În context, în textul proiectului </w:t>
            </w:r>
            <w:r>
              <w:t>de lege, la art. I-VI, se propun intervenții la următoarele acte normative, după cum urmează:</w:t>
            </w:r>
          </w:p>
          <w:p w:rsidR="00E956A1" w:rsidRDefault="005276A0">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Legea nr. 1402/2002 serviciilor publice de gospodărie comunală (Monitorul Oficial al Republicii Moldova, 2003, nr. 14-17, art. 49), cu modificările ulterioare. Necesitatea acestor modificări derivă din necesitatea ajustării noțiunilor prezente în această l</w:t>
            </w:r>
            <w:r>
              <w:rPr>
                <w:rFonts w:ascii="Times New Roman" w:eastAsia="Times New Roman" w:hAnsi="Times New Roman" w:cs="Times New Roman"/>
                <w:color w:val="000000"/>
                <w:sz w:val="24"/>
                <w:szCs w:val="24"/>
              </w:rPr>
              <w:t xml:space="preserve">ege cu cele existente în cadrul normativ aferent activității SACET-urilor inclusiv în vederea conformării acestora cu modificările operate la Legea nr. 92/2014 cu privire la energia termică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promovarea cogenerării, prin prezenta modificare.  </w:t>
            </w:r>
          </w:p>
          <w:p w:rsidR="00E956A1" w:rsidRDefault="005276A0">
            <w:pPr>
              <w:pStyle w:val="Titlu2"/>
              <w:numPr>
                <w:ilvl w:val="0"/>
                <w:numId w:val="1"/>
              </w:numPr>
              <w:spacing w:line="276" w:lineRule="auto"/>
            </w:pPr>
            <w:r>
              <w:t>Legea nr. 4</w:t>
            </w:r>
            <w:r>
              <w:t xml:space="preserve">36/2006 privind administrația publică locală (Monitorul Oficial al Republicii Moldova, 2007, nr. 32-35, art. 116) cu modificările și completările ulterioare – prevede completarea cu articole noi care vin sa creeze premisele necesare în vederea </w:t>
            </w:r>
            <w:r>
              <w:rPr>
                <w:highlight w:val="white"/>
              </w:rPr>
              <w:t>elaborării s</w:t>
            </w:r>
            <w:r>
              <w:rPr>
                <w:highlight w:val="white"/>
              </w:rPr>
              <w:t xml:space="preserve">tabilirii și aprobării zonelor </w:t>
            </w:r>
            <w:r>
              <w:t xml:space="preserve">unitare </w:t>
            </w:r>
            <w:r>
              <w:rPr>
                <w:highlight w:val="white"/>
              </w:rPr>
              <w:t>de alimentare cu energie termică</w:t>
            </w:r>
            <w:r>
              <w:t xml:space="preserve"> în cadrul </w:t>
            </w:r>
            <w:r>
              <w:rPr>
                <w:highlight w:val="white"/>
              </w:rPr>
              <w:t xml:space="preserve">unității administrativ-teritoriale, astfel fiind asigurată concordanță cu modificările propuse la art. 10 la Legea </w:t>
            </w:r>
            <w:r>
              <w:t xml:space="preserve">nr. 92/2014, </w:t>
            </w:r>
            <w:r>
              <w:rPr>
                <w:highlight w:val="white"/>
              </w:rPr>
              <w:t xml:space="preserve"> prin includerea alin (3), care prevede obliga</w:t>
            </w:r>
            <w:r>
              <w:rPr>
                <w:highlight w:val="white"/>
              </w:rPr>
              <w:t>tivitatea APL de a stabili și a aproba zonele unitare de alimentare cu energie termică.</w:t>
            </w:r>
          </w:p>
          <w:p w:rsidR="00E956A1" w:rsidRDefault="005276A0">
            <w:pPr>
              <w:pStyle w:val="Titlu2"/>
              <w:spacing w:line="276" w:lineRule="auto"/>
              <w:ind w:left="402" w:firstLine="0"/>
            </w:pPr>
            <w:r>
              <w:lastRenderedPageBreak/>
              <w:t>Mai mult ca atât, pentru aducerea în concordanță a prevederilor proiectului de lege cu prevederile altor documente normative la capitolul ce ține de partea ce ține de d</w:t>
            </w:r>
            <w:r>
              <w:t xml:space="preserve">ebranșarea, deconectarea de la sistemul de alimentare centralizată cu energie termică și/sau sistemul colectiv de alimentare cu energie termică, </w:t>
            </w:r>
            <w:sdt>
              <w:sdtPr>
                <w:tag w:val="goog_rdk_0"/>
                <w:id w:val="1636068115"/>
              </w:sdtPr>
              <w:sdtEndPr/>
              <w:sdtContent>
                <w:r>
                  <w:rPr>
                    <w:highlight w:val="white"/>
                  </w:rPr>
                  <w:t xml:space="preserve">punctele de delimitare a rețelelor și instalațiilor interne din condominiu și a rețelelor și </w:t>
                </w:r>
              </w:sdtContent>
            </w:sdt>
            <w:r>
              <w:t>instalațiilor pu</w:t>
            </w:r>
            <w:r>
              <w:t xml:space="preserve">blice au fost propuse modificări la </w:t>
            </w:r>
            <w:r>
              <w:rPr>
                <w:i/>
              </w:rPr>
              <w:t>Legea nr. 75/2015 cu privire la locuințe (Monitorul Oficial al Republicii Moldova, 2015, nr. 131-138, art. 249), cu modificările ulterioare</w:t>
            </w:r>
            <w:r>
              <w:t xml:space="preserve"> precum și la </w:t>
            </w:r>
            <w:r>
              <w:rPr>
                <w:i/>
              </w:rPr>
              <w:t xml:space="preserve">Legea nr. 187/2022 cu privire la condominium (Monitorul Oficial al </w:t>
            </w:r>
            <w:r>
              <w:rPr>
                <w:i/>
              </w:rPr>
              <w:t>Republicii Moldova, 2022, nr. 238-244, art. 467).</w:t>
            </w:r>
          </w:p>
          <w:p w:rsidR="00E956A1" w:rsidRDefault="005276A0">
            <w:pPr>
              <w:pStyle w:val="Titlu2"/>
              <w:numPr>
                <w:ilvl w:val="0"/>
                <w:numId w:val="1"/>
              </w:numPr>
              <w:spacing w:line="276" w:lineRule="auto"/>
            </w:pPr>
            <w:r>
              <w:rPr>
                <w:highlight w:val="white"/>
              </w:rPr>
              <w:t>În contextul stabilirii la art. 6</w:t>
            </w:r>
            <w:r>
              <w:rPr>
                <w:highlight w:val="white"/>
                <w:vertAlign w:val="superscript"/>
              </w:rPr>
              <w:t>1</w:t>
            </w:r>
            <w:r>
              <w:rPr>
                <w:highlight w:val="white"/>
              </w:rPr>
              <w:t xml:space="preserve"> și 6</w:t>
            </w:r>
            <w:r>
              <w:rPr>
                <w:highlight w:val="white"/>
                <w:vertAlign w:val="superscript"/>
              </w:rPr>
              <w:t>2</w:t>
            </w:r>
            <w:r>
              <w:rPr>
                <w:highlight w:val="white"/>
              </w:rPr>
              <w:t xml:space="preserve"> din proiectul de lege, a obligativității pentru conectarea/reconectarea clădirilor autorităților publice și altor potențiali consumatori la sistemul de alimentare ce</w:t>
            </w:r>
            <w:r>
              <w:rPr>
                <w:highlight w:val="white"/>
              </w:rPr>
              <w:t xml:space="preserve">ntralizată cu energie termică, sunt necesare completări ale Codului </w:t>
            </w:r>
            <w:r>
              <w:t>contravențional al Republicii Moldova nr. 218/2008  (Republicat Monitorul Oficial al Republicii Moldova, 2017, nr. 78-84, art. 100), cu modificările ulterioare cu un articol nou care preve</w:t>
            </w:r>
            <w:r>
              <w:t>de stabilirea valorii penalităților pentru cazurile de neîndeplinire în termen sa repetată a restabilirii conectării instalațiilor de utilizare a energiei termice ale consumatorilor la sistemul de alimentare centralizată cu energie termică sau sistemul col</w:t>
            </w:r>
            <w:r>
              <w:t xml:space="preserve">ectiv de alimentare cu energie termică. </w:t>
            </w:r>
          </w:p>
          <w:p w:rsidR="00E956A1" w:rsidRDefault="005276A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Modificările operate la Legea nr. 92/2014 cu privire la energia termică și promovarea cogenerării au fost menționate în pct. 4 al prezentei Note.</w:t>
            </w:r>
          </w:p>
          <w:p w:rsidR="00E956A1" w:rsidRDefault="005276A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Totodată, în contextul adoptării proiectului de lege, potrivit art. V</w:t>
            </w:r>
            <w:r>
              <w:rPr>
                <w:rFonts w:ascii="Times New Roman" w:eastAsia="Times New Roman" w:hAnsi="Times New Roman" w:cs="Times New Roman"/>
                <w:color w:val="000000"/>
                <w:sz w:val="24"/>
                <w:szCs w:val="24"/>
                <w:highlight w:val="white"/>
              </w:rPr>
              <w:t xml:space="preserve">III, </w:t>
            </w:r>
          </w:p>
          <w:p w:rsidR="00E956A1" w:rsidRDefault="005276A0">
            <w:pPr>
              <w:pBdr>
                <w:top w:val="nil"/>
                <w:left w:val="nil"/>
                <w:bottom w:val="nil"/>
                <w:right w:val="nil"/>
                <w:between w:val="nil"/>
              </w:pBdr>
              <w:tabs>
                <w:tab w:val="left" w:pos="454"/>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rPr>
              <w:tab/>
              <w:t>Instituția publică de suport, în termen de 3 luni de la intrarea în vigoare a prezentei legi, va elabora, aproba și publica pe pagina sa oficială Ghidul prevăzut la Articolul 421, pct. 31, alin. (4).</w:t>
            </w:r>
          </w:p>
          <w:p w:rsidR="00E956A1" w:rsidRDefault="005276A0">
            <w:pPr>
              <w:pBdr>
                <w:top w:val="nil"/>
                <w:left w:val="nil"/>
                <w:bottom w:val="nil"/>
                <w:right w:val="nil"/>
                <w:between w:val="nil"/>
              </w:pBdr>
              <w:tabs>
                <w:tab w:val="left" w:pos="454"/>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Autoritățile administrației publice locale, în termen de 6 luni de la intrarea în vigoare a prezentei legi, vor aproba zonele unitare de alimentare cu energie termică în cadrul unității administrativ-teritoriale în care există sisteme de alimentare central</w:t>
            </w:r>
            <w:r>
              <w:rPr>
                <w:rFonts w:ascii="Times New Roman" w:eastAsia="Times New Roman" w:hAnsi="Times New Roman" w:cs="Times New Roman"/>
                <w:color w:val="000000"/>
                <w:sz w:val="24"/>
                <w:szCs w:val="24"/>
                <w:highlight w:val="white"/>
              </w:rPr>
              <w:t>izate cu energie termică funcționale și după elaborarea studiilor de fezabilitate corespunzătoare din partea unităților termoenergetice.</w:t>
            </w:r>
          </w:p>
          <w:p w:rsidR="00E956A1" w:rsidRDefault="00E956A1">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p>
          <w:p w:rsidR="00E956A1" w:rsidRDefault="005276A0">
            <w:pPr>
              <w:pBdr>
                <w:top w:val="nil"/>
                <w:left w:val="nil"/>
                <w:bottom w:val="nil"/>
                <w:right w:val="nil"/>
                <w:between w:val="nil"/>
              </w:pBdr>
              <w:tabs>
                <w:tab w:val="left" w:pos="454"/>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Organul central de specialitate al administrației publice în domeniul energeticii, cu suportul unităților termoenergetice și a autorităților administrației publice locale relevante, în termen de 12 luni de la intrarea în vigoare a prezentei legi, efectueaz</w:t>
            </w:r>
            <w:r>
              <w:rPr>
                <w:rFonts w:ascii="Times New Roman" w:eastAsia="Times New Roman" w:hAnsi="Times New Roman" w:cs="Times New Roman"/>
                <w:color w:val="000000"/>
                <w:sz w:val="24"/>
                <w:szCs w:val="24"/>
                <w:highlight w:val="white"/>
              </w:rPr>
              <w:t>ă o inventariere a clădirilor autorităților și instituțiilor aflate în zonele unitare de alimentare cu energie termică pentru care autoritatea administrației publice locale a stabilit că alimentarea cu energie termică se realizează exclusiv în sistem centr</w:t>
            </w:r>
            <w:r>
              <w:rPr>
                <w:rFonts w:ascii="Times New Roman" w:eastAsia="Times New Roman" w:hAnsi="Times New Roman" w:cs="Times New Roman"/>
                <w:color w:val="000000"/>
                <w:sz w:val="24"/>
                <w:szCs w:val="24"/>
                <w:highlight w:val="white"/>
              </w:rPr>
              <w:t>alizat, și elaborează o foaie de parcurs cu privire la conectarea/reconectarea edificiilor respective la sistemul de alimentare centralizată cu energie termică</w:t>
            </w:r>
          </w:p>
          <w:p w:rsidR="00E956A1" w:rsidRDefault="005276A0">
            <w:pPr>
              <w:pBdr>
                <w:top w:val="nil"/>
                <w:left w:val="nil"/>
                <w:bottom w:val="nil"/>
                <w:right w:val="nil"/>
                <w:between w:val="nil"/>
              </w:pBdr>
              <w:tabs>
                <w:tab w:val="left" w:pos="312"/>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ab/>
              <w:t xml:space="preserve"> Agenția, în termen de 6 luni de la intrarea în vigoare a prezentei legi, va actualiza:</w:t>
            </w:r>
          </w:p>
          <w:p w:rsidR="00E956A1" w:rsidRDefault="005276A0">
            <w:pPr>
              <w:pBdr>
                <w:top w:val="nil"/>
                <w:left w:val="nil"/>
                <w:bottom w:val="nil"/>
                <w:right w:val="nil"/>
                <w:between w:val="nil"/>
              </w:pBdr>
              <w:tabs>
                <w:tab w:val="left" w:pos="312"/>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w:t>
            </w:r>
            <w:r>
              <w:rPr>
                <w:rFonts w:ascii="Times New Roman" w:eastAsia="Times New Roman" w:hAnsi="Times New Roman" w:cs="Times New Roman"/>
                <w:color w:val="000000"/>
                <w:sz w:val="24"/>
                <w:szCs w:val="24"/>
                <w:highlight w:val="white"/>
              </w:rPr>
              <w:tab/>
              <w:t>M</w:t>
            </w:r>
            <w:r>
              <w:rPr>
                <w:rFonts w:ascii="Times New Roman" w:eastAsia="Times New Roman" w:hAnsi="Times New Roman" w:cs="Times New Roman"/>
                <w:color w:val="000000"/>
                <w:sz w:val="24"/>
                <w:szCs w:val="24"/>
                <w:highlight w:val="white"/>
              </w:rPr>
              <w:t xml:space="preserve">etodologia de calculare, aprobare și aplicare a prețurilor și tarifelor reglementate pentru producerea energiei electrice și termice, pentru serviciile de distribuție și furnizare a energiei termice, aprobată prin Hotărârea Consiliului de administrație al </w:t>
            </w:r>
            <w:r>
              <w:rPr>
                <w:rFonts w:ascii="Times New Roman" w:eastAsia="Times New Roman" w:hAnsi="Times New Roman" w:cs="Times New Roman"/>
                <w:color w:val="000000"/>
                <w:sz w:val="24"/>
                <w:szCs w:val="24"/>
                <w:highlight w:val="white"/>
              </w:rPr>
              <w:t xml:space="preserve">Agenției Naționale pentru Reglementare în Energetică nr. 396/2019; </w:t>
            </w:r>
          </w:p>
          <w:p w:rsidR="00E956A1" w:rsidRDefault="005276A0">
            <w:pPr>
              <w:pBdr>
                <w:top w:val="nil"/>
                <w:left w:val="nil"/>
                <w:bottom w:val="nil"/>
                <w:right w:val="nil"/>
                <w:between w:val="nil"/>
              </w:pBdr>
              <w:tabs>
                <w:tab w:val="left" w:pos="312"/>
              </w:tabs>
              <w:spacing w:after="0" w:line="276"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b)</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 xml:space="preserve">Metodologia cu privire la determinarea valorilor normative a pierderilor de energie termică, de agent termic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a valorilor indicilor normativi de </w:t>
            </w:r>
            <w:proofErr w:type="spellStart"/>
            <w:r>
              <w:rPr>
                <w:rFonts w:ascii="Times New Roman" w:eastAsia="Times New Roman" w:hAnsi="Times New Roman" w:cs="Times New Roman"/>
                <w:color w:val="000000"/>
                <w:sz w:val="24"/>
                <w:szCs w:val="24"/>
                <w:highlight w:val="white"/>
              </w:rPr>
              <w:t>funcţionare</w:t>
            </w:r>
            <w:proofErr w:type="spellEnd"/>
            <w:r>
              <w:rPr>
                <w:rFonts w:ascii="Times New Roman" w:eastAsia="Times New Roman" w:hAnsi="Times New Roman" w:cs="Times New Roman"/>
                <w:color w:val="000000"/>
                <w:sz w:val="24"/>
                <w:szCs w:val="24"/>
                <w:highlight w:val="white"/>
              </w:rPr>
              <w:t xml:space="preserve"> a </w:t>
            </w:r>
            <w:proofErr w:type="spellStart"/>
            <w:r>
              <w:rPr>
                <w:rFonts w:ascii="Times New Roman" w:eastAsia="Times New Roman" w:hAnsi="Times New Roman" w:cs="Times New Roman"/>
                <w:color w:val="000000"/>
                <w:sz w:val="24"/>
                <w:szCs w:val="24"/>
                <w:highlight w:val="white"/>
              </w:rPr>
              <w:t>reţelelor</w:t>
            </w:r>
            <w:proofErr w:type="spellEnd"/>
            <w:r>
              <w:rPr>
                <w:rFonts w:ascii="Times New Roman" w:eastAsia="Times New Roman" w:hAnsi="Times New Roman" w:cs="Times New Roman"/>
                <w:color w:val="000000"/>
                <w:sz w:val="24"/>
                <w:szCs w:val="24"/>
                <w:highlight w:val="white"/>
              </w:rPr>
              <w:t xml:space="preserve"> termice cu apă, aprobată prin Hotărârea Consiliului de administrație al Agenției Nați</w:t>
            </w:r>
            <w:r>
              <w:rPr>
                <w:rFonts w:ascii="Times New Roman" w:eastAsia="Times New Roman" w:hAnsi="Times New Roman" w:cs="Times New Roman"/>
                <w:color w:val="000000"/>
                <w:sz w:val="24"/>
                <w:szCs w:val="24"/>
                <w:highlight w:val="white"/>
              </w:rPr>
              <w:t>onale pentru Reglementare în Energetică nr. 742/2014.</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7.</w:t>
            </w:r>
            <w:r>
              <w:rPr>
                <w:rFonts w:ascii="Times New Roman" w:eastAsia="Times New Roman" w:hAnsi="Times New Roman" w:cs="Times New Roman"/>
                <w:color w:val="000000"/>
                <w:sz w:val="24"/>
                <w:szCs w:val="24"/>
              </w:rPr>
              <w:t> Avizarea și consultarea publică a proiectului</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widowControl w:val="0"/>
              <w:pBdr>
                <w:top w:val="nil"/>
                <w:left w:val="nil"/>
                <w:bottom w:val="nil"/>
                <w:right w:val="nil"/>
                <w:between w:val="nil"/>
              </w:pBdr>
              <w:spacing w:before="7" w:after="0" w:line="276" w:lineRule="auto"/>
              <w:ind w:left="44"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Proiectul de act normativ a fost supus procedurii de examinare și avizare în conformitate cu prevederile Legii nr.100/2017 privind actele normative.</w:t>
            </w:r>
          </w:p>
          <w:p w:rsidR="00E956A1" w:rsidRDefault="005276A0">
            <w:pPr>
              <w:widowControl w:val="0"/>
              <w:pBdr>
                <w:top w:val="nil"/>
                <w:left w:val="nil"/>
                <w:bottom w:val="nil"/>
                <w:right w:val="nil"/>
                <w:between w:val="nil"/>
              </w:pBdr>
              <w:spacing w:after="0" w:line="276" w:lineRule="auto"/>
              <w:ind w:left="44" w:right="3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În scopul respectării prevederilor Legii nr.239/2008 privind transparența în procesul decizional, proiectul a fost publicat și poate fi accesat pe pagina web oficială a Ministerului Energiei (compartimentul </w:t>
            </w:r>
            <w:r>
              <w:rPr>
                <w:rFonts w:ascii="Times New Roman" w:eastAsia="Times New Roman" w:hAnsi="Times New Roman" w:cs="Times New Roman"/>
                <w:i/>
                <w:color w:val="000000"/>
                <w:sz w:val="24"/>
                <w:szCs w:val="24"/>
              </w:rPr>
              <w:t>„Transparența”</w:t>
            </w:r>
            <w:r>
              <w:rPr>
                <w:rFonts w:ascii="Times New Roman" w:eastAsia="Times New Roman" w:hAnsi="Times New Roman" w:cs="Times New Roman"/>
                <w:color w:val="000000"/>
                <w:sz w:val="24"/>
                <w:szCs w:val="24"/>
              </w:rPr>
              <w:t xml:space="preserve">, directoriul  </w:t>
            </w:r>
            <w:r>
              <w:rPr>
                <w:rFonts w:ascii="Times New Roman" w:eastAsia="Times New Roman" w:hAnsi="Times New Roman" w:cs="Times New Roman"/>
                <w:i/>
                <w:color w:val="000000"/>
                <w:sz w:val="24"/>
                <w:szCs w:val="24"/>
              </w:rPr>
              <w:t>Transparență decizională”</w:t>
            </w:r>
            <w:r>
              <w:rPr>
                <w:rFonts w:ascii="Times New Roman" w:eastAsia="Times New Roman" w:hAnsi="Times New Roman" w:cs="Times New Roman"/>
                <w:color w:val="000000"/>
                <w:sz w:val="24"/>
                <w:szCs w:val="24"/>
              </w:rPr>
              <w:t xml:space="preserve">) și pe portalul guvernamental </w:t>
            </w:r>
            <w:r>
              <w:rPr>
                <w:rFonts w:ascii="Times New Roman" w:eastAsia="Times New Roman" w:hAnsi="Times New Roman" w:cs="Times New Roman"/>
                <w:color w:val="000000"/>
                <w:sz w:val="24"/>
                <w:szCs w:val="24"/>
                <w:u w:val="single"/>
              </w:rPr>
              <w:t xml:space="preserve">particip.gov.md. </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rPr>
              <w:t>8.</w:t>
            </w:r>
            <w:r>
              <w:rPr>
                <w:rFonts w:ascii="Times New Roman" w:eastAsia="Times New Roman" w:hAnsi="Times New Roman" w:cs="Times New Roman"/>
                <w:color w:val="000000"/>
                <w:sz w:val="24"/>
                <w:szCs w:val="24"/>
              </w:rPr>
              <w:t> Constatările expertizei anticorupție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Proiectul de hotărâre urmează a fi supus expertizei anticorupție, conform art. 35 din Legea nr.100/2017 cu privire la actele normative, iar </w:t>
            </w:r>
            <w:r>
              <w:rPr>
                <w:rFonts w:ascii="Times New Roman" w:eastAsia="Times New Roman" w:hAnsi="Times New Roman" w:cs="Times New Roman"/>
                <w:sz w:val="24"/>
                <w:szCs w:val="24"/>
              </w:rPr>
              <w:t>rezultatele acesteia vor fi incluse în sinteza obiecțiilor și propunerilor la proiect.</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 Constatările expertizei de compatibilitate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hotărârii de Guvern nu conține norme privind armonizarea legislației naționale cu legislația Uniunii Europene.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r>
              <w:rPr>
                <w:rFonts w:ascii="Times New Roman" w:eastAsia="Times New Roman" w:hAnsi="Times New Roman" w:cs="Times New Roman"/>
                <w:color w:val="000000"/>
                <w:sz w:val="24"/>
                <w:szCs w:val="24"/>
              </w:rPr>
              <w:t> Constatările expertizei juridice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Proiectul de hotărâre a fost supus expertizei juridice, conform art. 37 din Legea nr. 100/2017 cu privire la actele normative, iar rezultatele examinării acesteia vor fi reflectate în sinteza obiecțiilor și propuneril</w:t>
            </w:r>
            <w:r>
              <w:rPr>
                <w:rFonts w:ascii="Times New Roman" w:eastAsia="Times New Roman" w:hAnsi="Times New Roman" w:cs="Times New Roman"/>
                <w:sz w:val="24"/>
                <w:szCs w:val="24"/>
              </w:rPr>
              <w:t>or la proiect.</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color w:val="000000"/>
                <w:sz w:val="24"/>
                <w:szCs w:val="24"/>
              </w:rPr>
              <w:t> Constatările altor expertize</w:t>
            </w:r>
          </w:p>
        </w:tc>
      </w:tr>
      <w:tr w:rsidR="00E956A1">
        <w:tc>
          <w:tcPr>
            <w:tcW w:w="9900" w:type="dxa"/>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E956A1" w:rsidRDefault="005276A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urmează a fi consultat cu Secretariatul Comunității Energetice</w:t>
            </w:r>
          </w:p>
          <w:p w:rsidR="00E956A1" w:rsidRDefault="00E956A1">
            <w:pPr>
              <w:spacing w:after="0" w:line="276" w:lineRule="auto"/>
              <w:jc w:val="both"/>
              <w:rPr>
                <w:rFonts w:ascii="Times New Roman" w:eastAsia="Times New Roman" w:hAnsi="Times New Roman" w:cs="Times New Roman"/>
                <w:sz w:val="24"/>
                <w:szCs w:val="24"/>
              </w:rPr>
            </w:pPr>
          </w:p>
        </w:tc>
      </w:tr>
    </w:tbl>
    <w:p w:rsidR="00E956A1" w:rsidRDefault="00E956A1">
      <w:pPr>
        <w:jc w:val="center"/>
        <w:rPr>
          <w:rFonts w:ascii="Times New Roman" w:eastAsia="Times New Roman" w:hAnsi="Times New Roman" w:cs="Times New Roman"/>
          <w:sz w:val="26"/>
          <w:szCs w:val="26"/>
        </w:rPr>
      </w:pPr>
    </w:p>
    <w:p w:rsidR="00E956A1" w:rsidRDefault="005276A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Ministrul Energiei                                                    Victor PARLICOV</w:t>
      </w:r>
    </w:p>
    <w:p w:rsidR="00E956A1" w:rsidRDefault="00E956A1">
      <w:pPr>
        <w:jc w:val="center"/>
        <w:rPr>
          <w:rFonts w:ascii="Times New Roman" w:eastAsia="Times New Roman" w:hAnsi="Times New Roman" w:cs="Times New Roman"/>
          <w:b/>
          <w:sz w:val="24"/>
          <w:szCs w:val="24"/>
        </w:rPr>
      </w:pPr>
    </w:p>
    <w:sectPr w:rsidR="00E956A1">
      <w:footerReference w:type="default" r:id="rId8"/>
      <w:pgSz w:w="12240" w:h="15840"/>
      <w:pgMar w:top="1138" w:right="850" w:bottom="568" w:left="1701"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6A0" w:rsidRDefault="005276A0">
      <w:pPr>
        <w:spacing w:after="0" w:line="240" w:lineRule="auto"/>
      </w:pPr>
      <w:r>
        <w:separator/>
      </w:r>
    </w:p>
  </w:endnote>
  <w:endnote w:type="continuationSeparator" w:id="0">
    <w:p w:rsidR="005276A0" w:rsidRDefault="0052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6A1" w:rsidRDefault="00E956A1">
    <w:pPr>
      <w:pBdr>
        <w:top w:val="nil"/>
        <w:left w:val="nil"/>
        <w:bottom w:val="nil"/>
        <w:right w:val="nil"/>
        <w:between w:val="nil"/>
      </w:pBdr>
      <w:tabs>
        <w:tab w:val="center" w:pos="4844"/>
        <w:tab w:val="right" w:pos="9689"/>
      </w:tabs>
      <w:spacing w:after="0" w:line="240" w:lineRule="auto"/>
      <w:jc w:val="center"/>
      <w:rPr>
        <w:color w:val="000000"/>
      </w:rPr>
    </w:pPr>
  </w:p>
  <w:p w:rsidR="00E956A1" w:rsidRDefault="00E956A1">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6A0" w:rsidRDefault="005276A0">
      <w:pPr>
        <w:spacing w:after="0" w:line="240" w:lineRule="auto"/>
      </w:pPr>
      <w:r>
        <w:separator/>
      </w:r>
    </w:p>
  </w:footnote>
  <w:footnote w:type="continuationSeparator" w:id="0">
    <w:p w:rsidR="005276A0" w:rsidRDefault="00527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F2450"/>
    <w:multiLevelType w:val="multilevel"/>
    <w:tmpl w:val="8A34765A"/>
    <w:lvl w:ilvl="0">
      <w:start w:val="2"/>
      <w:numFmt w:val="bullet"/>
      <w:lvlText w:val="-"/>
      <w:lvlJc w:val="left"/>
      <w:pPr>
        <w:ind w:left="720" w:hanging="360"/>
      </w:pPr>
      <w:rPr>
        <w:rFonts w:ascii="Candara" w:eastAsia="Candara" w:hAnsi="Candara" w:cs="Candar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BE2402"/>
    <w:multiLevelType w:val="multilevel"/>
    <w:tmpl w:val="0F38316C"/>
    <w:lvl w:ilvl="0">
      <w:start w:val="1"/>
      <w:numFmt w:val="decimal"/>
      <w:lvlText w:val="%1."/>
      <w:lvlJc w:val="left"/>
      <w:pPr>
        <w:ind w:left="402" w:hanging="360"/>
      </w:pPr>
      <w:rPr>
        <w:rFonts w:ascii="Times New Roman" w:eastAsia="Times New Roman" w:hAnsi="Times New Roman" w:cs="Times New Roman"/>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A1"/>
    <w:rsid w:val="005276A0"/>
    <w:rsid w:val="00924DF2"/>
    <w:rsid w:val="00E9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0EDE6-AB7A-423E-8CA5-19617BE5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76"/>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uiPriority w:val="9"/>
    <w:unhideWhenUsed/>
    <w:qFormat/>
    <w:rsid w:val="00A203EE"/>
    <w:pPr>
      <w:spacing w:after="120" w:line="240" w:lineRule="auto"/>
      <w:ind w:firstLine="540"/>
      <w:jc w:val="both"/>
      <w:outlineLvl w:val="1"/>
    </w:pPr>
    <w:rPr>
      <w:rFonts w:ascii="Times New Roman" w:eastAsia="Times New Roman" w:hAnsi="Times New Roman" w:cs="Times New Roman"/>
      <w:bCs/>
      <w:color w:val="000000"/>
      <w:sz w:val="24"/>
      <w:szCs w:val="24"/>
    </w:rPr>
  </w:style>
  <w:style w:type="paragraph" w:styleId="Titlu3">
    <w:name w:val="heading 3"/>
    <w:basedOn w:val="Normal"/>
    <w:next w:val="Normal"/>
    <w:link w:val="Titlu3Caracter"/>
    <w:uiPriority w:val="9"/>
    <w:semiHidden/>
    <w:unhideWhenUsed/>
    <w:qFormat/>
    <w:rsid w:val="0094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335A2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Frspaiere">
    <w:name w:val="No Spacing"/>
    <w:uiPriority w:val="1"/>
    <w:qFormat/>
    <w:rsid w:val="00777076"/>
    <w:pPr>
      <w:spacing w:after="0" w:line="240" w:lineRule="auto"/>
    </w:pPr>
  </w:style>
  <w:style w:type="paragraph" w:customStyle="1" w:styleId="TableParagraph">
    <w:name w:val="Table Paragraph"/>
    <w:basedOn w:val="Normal"/>
    <w:uiPriority w:val="1"/>
    <w:qFormat/>
    <w:rsid w:val="00777076"/>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777076"/>
    <w:pPr>
      <w:spacing w:before="100" w:beforeAutospacing="1" w:after="100" w:afterAutospacing="1" w:line="240" w:lineRule="auto"/>
    </w:pPr>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777076"/>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777076"/>
  </w:style>
  <w:style w:type="paragraph" w:styleId="Listparagraf">
    <w:name w:val="List Paragraph"/>
    <w:aliases w:val="References,NUMBERED PARAGRAPH,List Paragraph 1,Bullets,List_Paragraph,Multilevel para_II,Scriptoria bullet points,Bullet List,List Paragraph (numbered (a)),Numbered Paragraph,Main numbered paragraph,Akapit z listą BS,Lettre d'introduction"/>
    <w:basedOn w:val="Normal"/>
    <w:link w:val="ListparagrafCaracter"/>
    <w:uiPriority w:val="34"/>
    <w:qFormat/>
    <w:rsid w:val="00777076"/>
    <w:pPr>
      <w:ind w:left="720"/>
      <w:contextualSpacing/>
    </w:pPr>
  </w:style>
  <w:style w:type="paragraph" w:styleId="Textcomentariu">
    <w:name w:val="annotation text"/>
    <w:basedOn w:val="Normal"/>
    <w:link w:val="TextcomentariuCaracter"/>
    <w:uiPriority w:val="99"/>
    <w:unhideWhenUsed/>
    <w:rsid w:val="00A203EE"/>
    <w:pPr>
      <w:spacing w:line="240" w:lineRule="auto"/>
    </w:pPr>
    <w:rPr>
      <w:sz w:val="20"/>
      <w:szCs w:val="20"/>
    </w:rPr>
  </w:style>
  <w:style w:type="character" w:customStyle="1" w:styleId="TextcomentariuCaracter">
    <w:name w:val="Text comentariu Caracter"/>
    <w:basedOn w:val="Fontdeparagrafimplicit"/>
    <w:link w:val="Textcomentariu"/>
    <w:uiPriority w:val="99"/>
    <w:rsid w:val="00A203EE"/>
    <w:rPr>
      <w:sz w:val="20"/>
      <w:szCs w:val="20"/>
      <w:lang w:val="ro-RO"/>
    </w:rPr>
  </w:style>
  <w:style w:type="character" w:customStyle="1" w:styleId="Titlu2Caracter">
    <w:name w:val="Titlu 2 Caracter"/>
    <w:basedOn w:val="Fontdeparagrafimplicit"/>
    <w:link w:val="Titlu2"/>
    <w:uiPriority w:val="9"/>
    <w:rsid w:val="00A203EE"/>
    <w:rPr>
      <w:rFonts w:ascii="Times New Roman" w:eastAsia="Times New Roman" w:hAnsi="Times New Roman" w:cs="Times New Roman"/>
      <w:bCs/>
      <w:color w:val="000000"/>
      <w:sz w:val="24"/>
      <w:szCs w:val="24"/>
      <w:lang w:val="ro-RO"/>
    </w:rPr>
  </w:style>
  <w:style w:type="character" w:styleId="Hyperlink">
    <w:name w:val="Hyperlink"/>
    <w:basedOn w:val="Fontdeparagrafimplicit"/>
    <w:uiPriority w:val="99"/>
    <w:unhideWhenUsed/>
    <w:rsid w:val="003D0BCC"/>
    <w:rPr>
      <w:color w:val="0000FF"/>
      <w:u w:val="single"/>
    </w:rPr>
  </w:style>
  <w:style w:type="character" w:customStyle="1" w:styleId="bold">
    <w:name w:val="bold"/>
    <w:basedOn w:val="Fontdeparagrafimplicit"/>
    <w:rsid w:val="003D0BCC"/>
  </w:style>
  <w:style w:type="paragraph" w:styleId="Textnotdesubsol">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TextnotdesubsolCaracter"/>
    <w:uiPriority w:val="99"/>
    <w:unhideWhenUsed/>
    <w:qFormat/>
    <w:rsid w:val="003D0BCC"/>
    <w:pPr>
      <w:spacing w:after="0" w:line="240" w:lineRule="auto"/>
    </w:pPr>
    <w:rPr>
      <w:sz w:val="20"/>
      <w:szCs w:val="20"/>
    </w:rPr>
  </w:style>
  <w:style w:type="character" w:customStyle="1" w:styleId="TextnotdesubsolCaracter">
    <w:name w:val="Text notă de subsol Caracter"/>
    <w:aliases w:val="Footnote Text Char2 Caracter,Footnote Text Char1 Char Caracter,Footnote Text Char Char Char Caracter,Footnote Text Char Char1 Caracter,Footnote Text Char Char Caracter,Fußnote Caracter,single space Caracter,fn Caracter"/>
    <w:basedOn w:val="Fontdeparagrafimplicit"/>
    <w:link w:val="Textnotdesubsol"/>
    <w:uiPriority w:val="99"/>
    <w:rsid w:val="003D0BCC"/>
    <w:rPr>
      <w:sz w:val="20"/>
      <w:szCs w:val="20"/>
    </w:rPr>
  </w:style>
  <w:style w:type="character" w:styleId="Referinnotdesubsol">
    <w:name w:val="footnote reference"/>
    <w:aliases w:val="ftref,BVI fnr,number,SUPERS,Footnote Reference Superscript,-E Fuﬂnotenzeichen,-E Fuûnotenzeichen,-E Fußnotenzeichen,EN Footnote Reference,Footnote number,stylish,Footnote symbol,(Footnote Reference),Footnote reference number"/>
    <w:basedOn w:val="Fontdeparagrafimplicit"/>
    <w:link w:val="BVIfnrCharCharCharCharChar1"/>
    <w:uiPriority w:val="99"/>
    <w:unhideWhenUsed/>
    <w:qFormat/>
    <w:rsid w:val="003D0BCC"/>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Referinnotdesubsol"/>
    <w:uiPriority w:val="99"/>
    <w:rsid w:val="003D0BCC"/>
    <w:pPr>
      <w:spacing w:before="120" w:line="240" w:lineRule="exact"/>
    </w:pPr>
    <w:rPr>
      <w:vertAlign w:val="superscript"/>
    </w:rPr>
  </w:style>
  <w:style w:type="character" w:customStyle="1" w:styleId="ListparagrafCaracter">
    <w:name w:val="Listă paragraf Caracter"/>
    <w:aliases w:val="References Caracter,NUMBERED PARAGRAPH Caracter,List Paragraph 1 Caracter,Bullets Caracter,List_Paragraph Caracter,Multilevel para_II Caracter,Scriptoria bullet points Caracter,Bullet List Caracter,Numbered Paragraph Caracter"/>
    <w:link w:val="Listparagraf"/>
    <w:qFormat/>
    <w:locked/>
    <w:rsid w:val="00D83AB9"/>
  </w:style>
  <w:style w:type="paragraph" w:customStyle="1" w:styleId="Default">
    <w:name w:val="Default"/>
    <w:rsid w:val="00CE6FB7"/>
    <w:pPr>
      <w:autoSpaceDE w:val="0"/>
      <w:autoSpaceDN w:val="0"/>
      <w:adjustRightInd w:val="0"/>
      <w:spacing w:after="0" w:line="240" w:lineRule="auto"/>
    </w:pPr>
    <w:rPr>
      <w:rFonts w:ascii="Times New Roman" w:hAnsi="Times New Roman" w:cs="Times New Roman"/>
      <w:color w:val="000000"/>
      <w:sz w:val="24"/>
      <w:szCs w:val="24"/>
    </w:rPr>
  </w:style>
  <w:style w:type="character" w:styleId="Referincomentariu">
    <w:name w:val="annotation reference"/>
    <w:basedOn w:val="Fontdeparagrafimplicit"/>
    <w:uiPriority w:val="99"/>
    <w:semiHidden/>
    <w:unhideWhenUsed/>
    <w:rsid w:val="00E86F62"/>
    <w:rPr>
      <w:sz w:val="16"/>
      <w:szCs w:val="16"/>
    </w:rPr>
  </w:style>
  <w:style w:type="paragraph" w:styleId="SubiectComentariu">
    <w:name w:val="annotation subject"/>
    <w:basedOn w:val="Textcomentariu"/>
    <w:next w:val="Textcomentariu"/>
    <w:link w:val="SubiectComentariuCaracter"/>
    <w:uiPriority w:val="99"/>
    <w:semiHidden/>
    <w:unhideWhenUsed/>
    <w:rsid w:val="00E86F62"/>
    <w:rPr>
      <w:b/>
      <w:bCs/>
      <w:lang w:val="en-US"/>
    </w:rPr>
  </w:style>
  <w:style w:type="character" w:customStyle="1" w:styleId="SubiectComentariuCaracter">
    <w:name w:val="Subiect Comentariu Caracter"/>
    <w:basedOn w:val="TextcomentariuCaracter"/>
    <w:link w:val="SubiectComentariu"/>
    <w:uiPriority w:val="99"/>
    <w:semiHidden/>
    <w:rsid w:val="00E86F62"/>
    <w:rPr>
      <w:b/>
      <w:bCs/>
      <w:sz w:val="20"/>
      <w:szCs w:val="20"/>
      <w:lang w:val="ro-RO"/>
    </w:rPr>
  </w:style>
  <w:style w:type="paragraph" w:styleId="TextnBalon">
    <w:name w:val="Balloon Text"/>
    <w:basedOn w:val="Normal"/>
    <w:link w:val="TextnBalonCaracter"/>
    <w:uiPriority w:val="99"/>
    <w:semiHidden/>
    <w:unhideWhenUsed/>
    <w:rsid w:val="00A73D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3DF7"/>
    <w:rPr>
      <w:rFonts w:ascii="Segoe UI" w:hAnsi="Segoe UI" w:cs="Segoe UI"/>
      <w:sz w:val="18"/>
      <w:szCs w:val="18"/>
    </w:rPr>
  </w:style>
  <w:style w:type="character" w:customStyle="1" w:styleId="docheader">
    <w:name w:val="doc_header"/>
    <w:rsid w:val="00FB50A4"/>
  </w:style>
  <w:style w:type="character" w:customStyle="1" w:styleId="Titlu4Caracter">
    <w:name w:val="Titlu 4 Caracter"/>
    <w:basedOn w:val="Fontdeparagrafimplicit"/>
    <w:link w:val="Titlu4"/>
    <w:uiPriority w:val="9"/>
    <w:semiHidden/>
    <w:rsid w:val="00335A2A"/>
    <w:rPr>
      <w:rFonts w:asciiTheme="majorHAnsi" w:eastAsiaTheme="majorEastAsia" w:hAnsiTheme="majorHAnsi" w:cstheme="majorBidi"/>
      <w:i/>
      <w:iCs/>
      <w:color w:val="2E74B5" w:themeColor="accent1" w:themeShade="BF"/>
    </w:rPr>
  </w:style>
  <w:style w:type="paragraph" w:customStyle="1" w:styleId="1">
    <w:name w:val="Обычный (веб)1"/>
    <w:basedOn w:val="Normal"/>
    <w:uiPriority w:val="99"/>
    <w:unhideWhenUsed/>
    <w:rsid w:val="00C95C0D"/>
    <w:pPr>
      <w:spacing w:after="0" w:line="240" w:lineRule="auto"/>
      <w:ind w:firstLine="567"/>
      <w:jc w:val="both"/>
    </w:pPr>
    <w:rPr>
      <w:rFonts w:ascii="Times New Roman" w:eastAsia="Times New Roman" w:hAnsi="Times New Roman" w:cs="Times New Roman"/>
      <w:sz w:val="24"/>
      <w:szCs w:val="24"/>
      <w:lang w:eastAsia="ru-RU"/>
    </w:rPr>
  </w:style>
  <w:style w:type="table" w:styleId="Tabelgril">
    <w:name w:val="Table Grid"/>
    <w:basedOn w:val="TabelNormal"/>
    <w:uiPriority w:val="39"/>
    <w:rsid w:val="00E7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semiHidden/>
    <w:rsid w:val="00942779"/>
    <w:rPr>
      <w:rFonts w:asciiTheme="majorHAnsi" w:eastAsiaTheme="majorEastAsia" w:hAnsiTheme="majorHAnsi" w:cstheme="majorBidi"/>
      <w:color w:val="1F4D78" w:themeColor="accent1" w:themeShade="7F"/>
      <w:sz w:val="24"/>
      <w:szCs w:val="24"/>
    </w:rPr>
  </w:style>
  <w:style w:type="paragraph" w:styleId="Antet">
    <w:name w:val="header"/>
    <w:basedOn w:val="Normal"/>
    <w:link w:val="AntetCaracter"/>
    <w:uiPriority w:val="99"/>
    <w:unhideWhenUsed/>
    <w:rsid w:val="0009253C"/>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9253C"/>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GECPvnG4ZR9CG7LJcDLIYVAXQ==">CgMxLjAaJgoBMBIhCh8IB0IbCghQVCBTZXJpZhIPVGltZXMgTmV3IFJvbWFuMghoLmdqZGd4czgAciExTngyaDdzY0ZqZHF5LXdWMzNWVWNjdU81NmZzU0l4QTE=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3508</Words>
  <Characters>20001</Characters>
  <Application>Microsoft Office Word</Application>
  <DocSecurity>0</DocSecurity>
  <Lines>166</Lines>
  <Paragraphs>46</Paragraphs>
  <ScaleCrop>false</ScaleCrop>
  <Company>HP Inc.</Company>
  <LinksUpToDate>false</LinksUpToDate>
  <CharactersWithSpaces>23463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Denis Bosii</cp:lastModifiedBy>
  <cp:revision>2</cp:revision>
  <dcterms:created xsi:type="dcterms:W3CDTF">2023-05-28T14:41:00Z</dcterms:created>
  <dcterms:modified xsi:type="dcterms:W3CDTF">2024-03-12T15:50:00Z</dcterms:modified>
</cp:coreProperties>
</file>