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8D1D8" w14:textId="2A357DA0" w:rsidR="003D6288" w:rsidRDefault="003D6288" w:rsidP="003D6288">
      <w:pPr>
        <w:jc w:val="center"/>
        <w:rPr>
          <w:rFonts w:cstheme="minorHAnsi"/>
          <w:b/>
          <w:sz w:val="24"/>
          <w:szCs w:val="24"/>
          <w:lang w:val="en-US"/>
        </w:rPr>
      </w:pPr>
      <w:bookmarkStart w:id="0" w:name="_GoBack"/>
      <w:bookmarkEnd w:id="0"/>
      <w:r w:rsidRPr="00AF391B">
        <w:rPr>
          <w:rFonts w:cstheme="minorHAnsi"/>
          <w:b/>
          <w:sz w:val="24"/>
          <w:szCs w:val="24"/>
          <w:lang w:val="en-US"/>
        </w:rPr>
        <w:t>NECP – Executive Summary</w:t>
      </w:r>
    </w:p>
    <w:p w14:paraId="72B8C5F8" w14:textId="79DDE63A" w:rsidR="00673C58" w:rsidRDefault="00673C58" w:rsidP="00774E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sz w:val="24"/>
          <w:szCs w:val="24"/>
          <w:lang w:val="en-US"/>
        </w:rPr>
      </w:pPr>
      <w:r w:rsidRPr="00774E29">
        <w:rPr>
          <w:rFonts w:cstheme="minorHAnsi"/>
          <w:sz w:val="24"/>
          <w:szCs w:val="24"/>
          <w:lang w:val="en-US"/>
        </w:rPr>
        <w:t xml:space="preserve">In 2018, the Ministerial Council of the Energy Community adopted Recommendation 2018/01/EnC-MC by which it is established that the </w:t>
      </w:r>
      <w:r w:rsidRPr="005A1CEA">
        <w:rPr>
          <w:rFonts w:cstheme="minorHAnsi"/>
          <w:sz w:val="24"/>
          <w:szCs w:val="24"/>
          <w:lang w:val="en-US"/>
        </w:rPr>
        <w:t>the contracting parties to the CEn</w:t>
      </w:r>
      <w:r w:rsidRPr="00673C58">
        <w:rPr>
          <w:rFonts w:cstheme="minorHAnsi"/>
          <w:sz w:val="24"/>
          <w:szCs w:val="24"/>
          <w:lang w:val="en-US"/>
        </w:rPr>
        <w:t xml:space="preserve"> </w:t>
      </w:r>
      <w:r>
        <w:rPr>
          <w:rFonts w:cstheme="minorHAnsi"/>
          <w:sz w:val="24"/>
          <w:szCs w:val="24"/>
          <w:lang w:val="en-US"/>
        </w:rPr>
        <w:t xml:space="preserve">shall </w:t>
      </w:r>
      <w:r w:rsidRPr="00774E29">
        <w:rPr>
          <w:rFonts w:cstheme="minorHAnsi"/>
          <w:sz w:val="24"/>
          <w:szCs w:val="24"/>
          <w:lang w:val="en-US"/>
        </w:rPr>
        <w:t>elaborat</w:t>
      </w:r>
      <w:r>
        <w:rPr>
          <w:rFonts w:cstheme="minorHAnsi"/>
          <w:sz w:val="24"/>
          <w:szCs w:val="24"/>
          <w:lang w:val="en-US"/>
        </w:rPr>
        <w:t>e</w:t>
      </w:r>
      <w:r w:rsidRPr="00774E29">
        <w:rPr>
          <w:rFonts w:cstheme="minorHAnsi"/>
          <w:sz w:val="24"/>
          <w:szCs w:val="24"/>
          <w:lang w:val="en-US"/>
        </w:rPr>
        <w:t xml:space="preserve"> and adopt </w:t>
      </w:r>
      <w:r>
        <w:rPr>
          <w:rFonts w:cstheme="minorHAnsi"/>
          <w:sz w:val="24"/>
          <w:szCs w:val="24"/>
          <w:lang w:val="en-US"/>
        </w:rPr>
        <w:t xml:space="preserve">integrated National Energy and Climate Plans (NECP) to </w:t>
      </w:r>
      <w:r w:rsidRPr="00774E29">
        <w:rPr>
          <w:rFonts w:cstheme="minorHAnsi"/>
          <w:sz w:val="24"/>
          <w:szCs w:val="24"/>
          <w:lang w:val="en-US"/>
        </w:rPr>
        <w:t xml:space="preserve">support the achievement of long-term public policy objectives in the field of energy and climate, reduce administrative burden, promote transparency and promote investment safety at </w:t>
      </w:r>
      <w:r>
        <w:rPr>
          <w:rFonts w:cstheme="minorHAnsi"/>
          <w:sz w:val="24"/>
          <w:szCs w:val="24"/>
          <w:lang w:val="en-US"/>
        </w:rPr>
        <w:t>r</w:t>
      </w:r>
      <w:r w:rsidRPr="00774E29">
        <w:rPr>
          <w:rFonts w:cstheme="minorHAnsi"/>
          <w:sz w:val="24"/>
          <w:szCs w:val="24"/>
          <w:lang w:val="en-US"/>
        </w:rPr>
        <w:t xml:space="preserve">egional level. Regulation (EU) no. 2018/1999 on the Governance of the Energy Union and climate actions, adapted by Decision 2021/14/EnC-MC of the Ministerial Council of the Energy Community, fixed a set of common rules on the planning, reporting and monitoring by the contracting parties of policies and targets in the fields of energy and climate. The Regulation includes a set of recommendations regarding the content, structure, way of drafting and approval by the contracting parties of integrated National Energy and Climate Plans. According to the Regulation, the first PNEC must cover the period 2025 and 2030 and subsequently ten-year periods starting from 2031 to 2040. Regulation (EU) no. 2018/1999 was transposed into the national legislation, and </w:t>
      </w:r>
      <w:r>
        <w:rPr>
          <w:rFonts w:cstheme="minorHAnsi"/>
          <w:sz w:val="24"/>
          <w:szCs w:val="24"/>
          <w:lang w:val="en-US"/>
        </w:rPr>
        <w:t xml:space="preserve">was adopted by the </w:t>
      </w:r>
      <w:r w:rsidRPr="00774E29">
        <w:rPr>
          <w:rFonts w:cstheme="minorHAnsi"/>
          <w:sz w:val="24"/>
          <w:szCs w:val="24"/>
          <w:lang w:val="en-US"/>
        </w:rPr>
        <w:t xml:space="preserve">Government </w:t>
      </w:r>
      <w:r>
        <w:rPr>
          <w:rFonts w:cstheme="minorHAnsi"/>
          <w:sz w:val="24"/>
          <w:szCs w:val="24"/>
          <w:lang w:val="en-US"/>
        </w:rPr>
        <w:t>of the Republic of Moldova on</w:t>
      </w:r>
      <w:r w:rsidRPr="00774E29">
        <w:rPr>
          <w:rFonts w:cstheme="minorHAnsi"/>
          <w:sz w:val="24"/>
          <w:szCs w:val="24"/>
          <w:lang w:val="en-US"/>
        </w:rPr>
        <w:t xml:space="preserve"> January 10, 2024.</w:t>
      </w:r>
    </w:p>
    <w:p w14:paraId="13799436" w14:textId="76448157" w:rsidR="00673C58" w:rsidRPr="00774E29" w:rsidRDefault="00673C58" w:rsidP="00774E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sz w:val="24"/>
          <w:szCs w:val="24"/>
          <w:lang w:val="en-US"/>
        </w:rPr>
      </w:pPr>
      <w:r>
        <w:rPr>
          <w:rFonts w:cstheme="minorHAnsi"/>
          <w:sz w:val="24"/>
          <w:szCs w:val="24"/>
          <w:lang w:val="en-US"/>
        </w:rPr>
        <w:t>The NECP sets the national targets on greenhouse gas (GHG) emissions reductions, renewable energy and energy efficiency to be attained in 2030 and presents evaluated projections up to the year 2050. The document is intended to replace 10-year Programs in renewable energy sources and energy efficiency.</w:t>
      </w:r>
    </w:p>
    <w:p w14:paraId="6121323F" w14:textId="77777777" w:rsidR="00673C58" w:rsidRPr="00774E29" w:rsidRDefault="00673C58" w:rsidP="00774E29">
      <w:pPr>
        <w:jc w:val="both"/>
        <w:rPr>
          <w:rFonts w:cstheme="minorHAnsi"/>
          <w:sz w:val="24"/>
          <w:szCs w:val="24"/>
          <w:lang w:val="en-US"/>
        </w:rPr>
      </w:pPr>
    </w:p>
    <w:p w14:paraId="67F707EF" w14:textId="77777777" w:rsidR="00BA295D" w:rsidRPr="00AF391B" w:rsidRDefault="00BA295D" w:rsidP="00B6327C">
      <w:pPr>
        <w:pStyle w:val="ListParagraph"/>
        <w:numPr>
          <w:ilvl w:val="0"/>
          <w:numId w:val="11"/>
        </w:numPr>
        <w:jc w:val="both"/>
        <w:rPr>
          <w:rFonts w:cstheme="minorHAnsi"/>
          <w:b/>
          <w:sz w:val="24"/>
          <w:szCs w:val="24"/>
        </w:rPr>
      </w:pPr>
      <w:r w:rsidRPr="00AF391B">
        <w:rPr>
          <w:rFonts w:cstheme="minorHAnsi"/>
          <w:b/>
          <w:sz w:val="24"/>
          <w:szCs w:val="24"/>
        </w:rPr>
        <w:t>Overview and Plan development process</w:t>
      </w:r>
    </w:p>
    <w:p w14:paraId="0AF84C12" w14:textId="77777777" w:rsidR="003D6288" w:rsidRPr="00AF391B" w:rsidRDefault="003D6288" w:rsidP="00F91E6F">
      <w:pPr>
        <w:spacing w:after="120"/>
        <w:jc w:val="both"/>
        <w:rPr>
          <w:rFonts w:cstheme="minorHAnsi"/>
          <w:b/>
          <w:bCs/>
          <w:i/>
          <w:sz w:val="24"/>
          <w:szCs w:val="24"/>
          <w:lang w:val="en-US"/>
        </w:rPr>
      </w:pPr>
      <w:r w:rsidRPr="00AF391B">
        <w:rPr>
          <w:rFonts w:cstheme="minorHAnsi"/>
          <w:b/>
          <w:bCs/>
          <w:i/>
          <w:sz w:val="24"/>
          <w:szCs w:val="24"/>
          <w:lang w:val="en-US"/>
        </w:rPr>
        <w:t>Political, economic, environmental and social context of the Plan</w:t>
      </w:r>
    </w:p>
    <w:p w14:paraId="728B05C2" w14:textId="7AA9077C" w:rsidR="003D6288" w:rsidRPr="00AF391B" w:rsidRDefault="003D6288" w:rsidP="00F91E6F">
      <w:pPr>
        <w:spacing w:after="120"/>
        <w:jc w:val="both"/>
        <w:rPr>
          <w:rFonts w:cstheme="minorHAnsi"/>
          <w:sz w:val="24"/>
          <w:szCs w:val="24"/>
          <w:lang w:val="en-US"/>
        </w:rPr>
      </w:pPr>
      <w:r w:rsidRPr="00AF391B">
        <w:rPr>
          <w:rFonts w:cstheme="minorHAnsi"/>
          <w:sz w:val="24"/>
          <w:szCs w:val="24"/>
          <w:lang w:val="en-US"/>
        </w:rPr>
        <w:t>The Integrated National Energy and Climate Plan of the Republic of Moldova for the period 2025-2030 is developed on the basis of the relevant primary legislation in all sectors, official intentions of decision-makers to promote and implement policies and measures for decarbonization of economic sectors and o</w:t>
      </w:r>
      <w:r w:rsidR="00093E93" w:rsidRPr="00AF391B">
        <w:rPr>
          <w:rFonts w:cstheme="minorHAnsi"/>
          <w:sz w:val="24"/>
          <w:szCs w:val="24"/>
          <w:lang w:val="en-US"/>
        </w:rPr>
        <w:t>n</w:t>
      </w:r>
      <w:r w:rsidRPr="00AF391B">
        <w:rPr>
          <w:rFonts w:cstheme="minorHAnsi"/>
          <w:sz w:val="24"/>
          <w:szCs w:val="24"/>
          <w:lang w:val="en-US"/>
        </w:rPr>
        <w:t xml:space="preserve"> already adopted/discussed concepts like: Concept of the Energy Strategy 2050, Concept of Long-term buildings stock renovation strategy, etc. It provides an overview of the current state of the art of the energy system and the existing energy and climate policy framework. It also provides an overview of the national targets for each of the five key dimensions of the Energy Union and the appropriate policies and measures to achieve those targets. The NECP pays a particular attention to the targets to be achieved by 2030, including the reduction in greenhouse gas emissions, increase of energy production from renewable sources, promotion the energy efficiency, diversification of energy supply routes and strengthening of gas and power system interconnections. The NECP is consistent with and contributes to the achievement of UN’s Sustainable Development Goals. Thus, the NECP addresses the 5 dimensions of the EU and Energy Union:</w:t>
      </w:r>
    </w:p>
    <w:p w14:paraId="5A68DEA8" w14:textId="77777777" w:rsidR="003D6288" w:rsidRPr="00AF391B" w:rsidRDefault="003D6288" w:rsidP="00F91E6F">
      <w:pPr>
        <w:pStyle w:val="ListParagraph"/>
        <w:numPr>
          <w:ilvl w:val="0"/>
          <w:numId w:val="1"/>
        </w:numPr>
        <w:spacing w:after="120"/>
        <w:jc w:val="both"/>
        <w:rPr>
          <w:rFonts w:cstheme="minorHAnsi"/>
          <w:sz w:val="24"/>
          <w:szCs w:val="24"/>
        </w:rPr>
      </w:pPr>
      <w:r w:rsidRPr="00AF391B">
        <w:rPr>
          <w:rFonts w:cstheme="minorHAnsi"/>
          <w:sz w:val="24"/>
          <w:szCs w:val="24"/>
        </w:rPr>
        <w:t>Dimension 1: Decarbonization</w:t>
      </w:r>
    </w:p>
    <w:p w14:paraId="0432C48D" w14:textId="77777777" w:rsidR="003D6288" w:rsidRPr="00AF391B" w:rsidRDefault="003D6288" w:rsidP="00F91E6F">
      <w:pPr>
        <w:pStyle w:val="ListParagraph"/>
        <w:numPr>
          <w:ilvl w:val="0"/>
          <w:numId w:val="1"/>
        </w:numPr>
        <w:spacing w:after="120"/>
        <w:jc w:val="both"/>
        <w:rPr>
          <w:rFonts w:cstheme="minorHAnsi"/>
          <w:sz w:val="24"/>
          <w:szCs w:val="24"/>
        </w:rPr>
      </w:pPr>
      <w:r w:rsidRPr="00AF391B">
        <w:rPr>
          <w:rFonts w:cstheme="minorHAnsi"/>
          <w:sz w:val="24"/>
          <w:szCs w:val="24"/>
        </w:rPr>
        <w:t xml:space="preserve">Dimension 2: Energy efficiency </w:t>
      </w:r>
    </w:p>
    <w:p w14:paraId="2AAB0FD1" w14:textId="77777777" w:rsidR="003D6288" w:rsidRPr="00AF391B" w:rsidRDefault="003D6288" w:rsidP="00F91E6F">
      <w:pPr>
        <w:pStyle w:val="ListParagraph"/>
        <w:numPr>
          <w:ilvl w:val="0"/>
          <w:numId w:val="1"/>
        </w:numPr>
        <w:spacing w:after="120"/>
        <w:jc w:val="both"/>
        <w:rPr>
          <w:rFonts w:cstheme="minorHAnsi"/>
          <w:sz w:val="24"/>
          <w:szCs w:val="24"/>
        </w:rPr>
      </w:pPr>
      <w:r w:rsidRPr="00AF391B">
        <w:rPr>
          <w:rFonts w:cstheme="minorHAnsi"/>
          <w:sz w:val="24"/>
          <w:szCs w:val="24"/>
        </w:rPr>
        <w:t>Dimension 3: Energy security</w:t>
      </w:r>
    </w:p>
    <w:p w14:paraId="7F8AA069" w14:textId="77777777" w:rsidR="003D6288" w:rsidRPr="00AF391B" w:rsidRDefault="003D6288" w:rsidP="00F91E6F">
      <w:pPr>
        <w:pStyle w:val="ListParagraph"/>
        <w:numPr>
          <w:ilvl w:val="0"/>
          <w:numId w:val="1"/>
        </w:numPr>
        <w:spacing w:after="120"/>
        <w:jc w:val="both"/>
        <w:rPr>
          <w:rFonts w:cstheme="minorHAnsi"/>
          <w:sz w:val="24"/>
          <w:szCs w:val="24"/>
        </w:rPr>
      </w:pPr>
      <w:r w:rsidRPr="00AF391B">
        <w:rPr>
          <w:rFonts w:cstheme="minorHAnsi"/>
          <w:sz w:val="24"/>
          <w:szCs w:val="24"/>
        </w:rPr>
        <w:t xml:space="preserve">Dimension 4: Internal energy market </w:t>
      </w:r>
    </w:p>
    <w:p w14:paraId="0438D409" w14:textId="77777777" w:rsidR="003D6288" w:rsidRPr="00AF391B" w:rsidRDefault="003D6288" w:rsidP="00F91E6F">
      <w:pPr>
        <w:pStyle w:val="ListParagraph"/>
        <w:numPr>
          <w:ilvl w:val="0"/>
          <w:numId w:val="1"/>
        </w:numPr>
        <w:spacing w:after="120"/>
        <w:jc w:val="both"/>
        <w:rPr>
          <w:rFonts w:cstheme="minorHAnsi"/>
          <w:sz w:val="24"/>
          <w:szCs w:val="24"/>
        </w:rPr>
      </w:pPr>
      <w:r w:rsidRPr="00AF391B">
        <w:rPr>
          <w:rFonts w:cstheme="minorHAnsi"/>
          <w:sz w:val="24"/>
          <w:szCs w:val="24"/>
        </w:rPr>
        <w:t>Dimension 5: Research, innovation and competitiveness</w:t>
      </w:r>
    </w:p>
    <w:p w14:paraId="132B025D" w14:textId="77777777" w:rsidR="003D6288" w:rsidRPr="00AF391B" w:rsidRDefault="003D6288" w:rsidP="00F91E6F">
      <w:pPr>
        <w:spacing w:after="120"/>
        <w:jc w:val="both"/>
        <w:rPr>
          <w:rFonts w:cstheme="minorHAnsi"/>
          <w:sz w:val="24"/>
          <w:szCs w:val="24"/>
          <w:lang w:val="en-US"/>
        </w:rPr>
      </w:pPr>
      <w:r w:rsidRPr="00AF391B">
        <w:rPr>
          <w:rFonts w:cstheme="minorHAnsi"/>
          <w:sz w:val="24"/>
          <w:szCs w:val="24"/>
          <w:lang w:val="en-US"/>
        </w:rPr>
        <w:lastRenderedPageBreak/>
        <w:t xml:space="preserve">The objective of the NECP is to outline existing, planned, and possible investments and policies to be implemented during the current decade. The document’s adoption does not in itself result in changes to tax policy, to allocated budgets, or to the regulatory framework described within the text. </w:t>
      </w:r>
    </w:p>
    <w:p w14:paraId="740659E3" w14:textId="77777777" w:rsidR="00093E93" w:rsidRPr="00AF391B" w:rsidRDefault="00093E93" w:rsidP="00F91E6F">
      <w:pPr>
        <w:spacing w:after="120"/>
        <w:jc w:val="both"/>
        <w:rPr>
          <w:rFonts w:cstheme="minorHAnsi"/>
          <w:sz w:val="24"/>
          <w:szCs w:val="24"/>
          <w:lang w:val="en-US"/>
        </w:rPr>
      </w:pPr>
      <w:r w:rsidRPr="00AF391B">
        <w:rPr>
          <w:rFonts w:cstheme="minorHAnsi"/>
          <w:sz w:val="24"/>
          <w:szCs w:val="24"/>
          <w:lang w:val="en-US"/>
        </w:rPr>
        <w:t xml:space="preserve">The NECP covers the period from 2025 to 2030, setting the pathway to transitioning the economy and energy systems towards a more sustainable future. The plan builds upon what the Republic of Moldova should have delivered in its policies for 2020 (as a baseline) and includes a perspective until 2050. </w:t>
      </w:r>
    </w:p>
    <w:p w14:paraId="32B34AD5" w14:textId="77777777" w:rsidR="00360057" w:rsidRPr="00AF391B" w:rsidRDefault="00131060" w:rsidP="00F91E6F">
      <w:pPr>
        <w:spacing w:after="120"/>
        <w:jc w:val="both"/>
        <w:rPr>
          <w:rFonts w:cstheme="minorHAnsi"/>
          <w:sz w:val="24"/>
          <w:szCs w:val="24"/>
          <w:lang w:val="en-US"/>
        </w:rPr>
      </w:pPr>
      <w:r w:rsidRPr="00AF391B">
        <w:rPr>
          <w:rFonts w:cstheme="minorHAnsi"/>
          <w:sz w:val="24"/>
          <w:szCs w:val="24"/>
          <w:lang w:val="en-US"/>
        </w:rPr>
        <w:t>Alongside with short-term crises, t</w:t>
      </w:r>
      <w:r w:rsidR="003D6288" w:rsidRPr="00AF391B">
        <w:rPr>
          <w:rFonts w:cstheme="minorHAnsi"/>
          <w:sz w:val="24"/>
          <w:szCs w:val="24"/>
          <w:lang w:val="en-US"/>
        </w:rPr>
        <w:t xml:space="preserve">he Republic of Moldova faces several structural economic </w:t>
      </w:r>
      <w:r w:rsidRPr="00AF391B">
        <w:rPr>
          <w:rFonts w:cstheme="minorHAnsi"/>
          <w:sz w:val="24"/>
          <w:szCs w:val="24"/>
          <w:lang w:val="en-US"/>
        </w:rPr>
        <w:t>challenges. The country i</w:t>
      </w:r>
      <w:r w:rsidR="003D6288" w:rsidRPr="00AF391B">
        <w:rPr>
          <w:rFonts w:cstheme="minorHAnsi"/>
          <w:sz w:val="24"/>
          <w:szCs w:val="24"/>
          <w:lang w:val="en-US"/>
        </w:rPr>
        <w:t>mports around 75% of its energy resources</w:t>
      </w:r>
      <w:r w:rsidRPr="00AF391B">
        <w:rPr>
          <w:rFonts w:cstheme="minorHAnsi"/>
          <w:sz w:val="24"/>
          <w:szCs w:val="24"/>
          <w:lang w:val="en-US"/>
        </w:rPr>
        <w:t xml:space="preserve">: over </w:t>
      </w:r>
      <w:r w:rsidR="003D6288" w:rsidRPr="00AF391B">
        <w:rPr>
          <w:rFonts w:cstheme="minorHAnsi"/>
          <w:sz w:val="24"/>
          <w:szCs w:val="24"/>
          <w:lang w:val="en-US"/>
        </w:rPr>
        <w:t xml:space="preserve">the past 3 years this </w:t>
      </w:r>
      <w:r w:rsidRPr="00AF391B">
        <w:rPr>
          <w:rFonts w:cstheme="minorHAnsi"/>
          <w:sz w:val="24"/>
          <w:szCs w:val="24"/>
          <w:lang w:val="en-US"/>
        </w:rPr>
        <w:t xml:space="preserve">indicator </w:t>
      </w:r>
      <w:r w:rsidR="003D6288" w:rsidRPr="00AF391B">
        <w:rPr>
          <w:rFonts w:cstheme="minorHAnsi"/>
          <w:sz w:val="24"/>
          <w:szCs w:val="24"/>
          <w:lang w:val="en-US"/>
        </w:rPr>
        <w:t>ranged from 67% to 80% accordingly to the National Bureau of Statistics</w:t>
      </w:r>
      <w:r w:rsidRPr="00AF391B">
        <w:rPr>
          <w:rFonts w:cstheme="minorHAnsi"/>
          <w:sz w:val="24"/>
          <w:szCs w:val="24"/>
          <w:lang w:val="en-US"/>
        </w:rPr>
        <w:t>. The Moldovan economy is extremely open and st</w:t>
      </w:r>
      <w:r w:rsidR="00FF25A8" w:rsidRPr="00AF391B">
        <w:rPr>
          <w:rFonts w:cstheme="minorHAnsi"/>
          <w:sz w:val="24"/>
          <w:szCs w:val="24"/>
          <w:lang w:val="en-US"/>
        </w:rPr>
        <w:t xml:space="preserve">rongly dependent on its poorly developed and low value-added </w:t>
      </w:r>
      <w:r w:rsidRPr="00AF391B">
        <w:rPr>
          <w:rFonts w:cstheme="minorHAnsi"/>
          <w:sz w:val="24"/>
          <w:szCs w:val="24"/>
          <w:lang w:val="en-US"/>
        </w:rPr>
        <w:t xml:space="preserve">agricultural </w:t>
      </w:r>
      <w:r w:rsidR="00FF25A8" w:rsidRPr="00AF391B">
        <w:rPr>
          <w:rFonts w:cstheme="minorHAnsi"/>
          <w:sz w:val="24"/>
          <w:szCs w:val="24"/>
          <w:lang w:val="en-US"/>
        </w:rPr>
        <w:t>sector. According to estimations, more than 20% of the Moldovan active workforce’s revenues are being received in an unofficial (undeclared) manner, thus significantly diminishing revenues to the state budget. Mol</w:t>
      </w:r>
      <w:r w:rsidR="00360057" w:rsidRPr="00AF391B">
        <w:rPr>
          <w:rFonts w:cstheme="minorHAnsi"/>
          <w:sz w:val="24"/>
          <w:szCs w:val="24"/>
          <w:lang w:val="en-US"/>
        </w:rPr>
        <w:t xml:space="preserve">dovan citizens have access to both the EU and post-Soviet space visa-free, thus highly qualified and experienced specialists are attracted to higher-wage countries of the European continent. In general, a multitude of economic and social push and pull factors have contributed over the past two decades to a massive phenomenon of emigration of Moldovan citizens, mainly towards countries of Western Europe. </w:t>
      </w:r>
    </w:p>
    <w:p w14:paraId="234AA07A" w14:textId="77777777" w:rsidR="00360057" w:rsidRPr="00AF391B" w:rsidRDefault="00360057" w:rsidP="00F91E6F">
      <w:pPr>
        <w:spacing w:after="120"/>
        <w:jc w:val="both"/>
        <w:rPr>
          <w:rFonts w:cstheme="minorHAnsi"/>
          <w:sz w:val="24"/>
          <w:szCs w:val="24"/>
          <w:lang w:val="en-US"/>
        </w:rPr>
      </w:pPr>
      <w:r w:rsidRPr="00AF391B">
        <w:rPr>
          <w:rFonts w:cstheme="minorHAnsi"/>
          <w:sz w:val="24"/>
          <w:szCs w:val="24"/>
          <w:lang w:val="en-US"/>
        </w:rPr>
        <w:t>Currently, the competitiveness of Moldovan economic operators is low compared to that of the EU and the access of local companies to the EU market is rather difficult, energy intensity being one of the main underlying factors. Policies and measures planned to be implemented as part of the NECP aim to overcome these difficulties and to help local companies to become more competitive both on local and EU or other markets.</w:t>
      </w:r>
    </w:p>
    <w:p w14:paraId="00FB2CA9" w14:textId="77777777" w:rsidR="00360057" w:rsidRPr="00AF391B" w:rsidRDefault="00360057" w:rsidP="00F91E6F">
      <w:pPr>
        <w:spacing w:after="120"/>
        <w:jc w:val="both"/>
        <w:rPr>
          <w:rFonts w:cstheme="minorHAnsi"/>
          <w:sz w:val="24"/>
          <w:szCs w:val="24"/>
          <w:lang w:val="en-US"/>
        </w:rPr>
      </w:pPr>
      <w:r w:rsidRPr="00AF391B">
        <w:rPr>
          <w:rFonts w:cstheme="minorHAnsi"/>
          <w:sz w:val="24"/>
          <w:szCs w:val="24"/>
          <w:lang w:val="en-US"/>
        </w:rPr>
        <w:t>Along with Georgia and Ukraine, Moldova signed an Association Agreement (AA) with the European Union which fully entered into force on July 1</w:t>
      </w:r>
      <w:r w:rsidRPr="00AF391B">
        <w:rPr>
          <w:rFonts w:cstheme="minorHAnsi"/>
          <w:sz w:val="24"/>
          <w:szCs w:val="24"/>
          <w:vertAlign w:val="superscript"/>
          <w:lang w:val="en-US"/>
        </w:rPr>
        <w:t>st</w:t>
      </w:r>
      <w:r w:rsidRPr="00AF391B">
        <w:rPr>
          <w:rFonts w:cstheme="minorHAnsi"/>
          <w:sz w:val="24"/>
          <w:szCs w:val="24"/>
          <w:lang w:val="en-US"/>
        </w:rPr>
        <w:t xml:space="preserve">, 2016, after being applied provisionally since September 2014. The AA includes a Deep and Comprehensive Free Trade Area (DCFTA) with the EU which aims at diversifying exports and improving the legal framework for a market economy. </w:t>
      </w:r>
    </w:p>
    <w:p w14:paraId="3EECF5AF" w14:textId="77777777" w:rsidR="00360057" w:rsidRPr="00AF391B" w:rsidRDefault="00360057" w:rsidP="00F91E6F">
      <w:pPr>
        <w:spacing w:after="120"/>
        <w:jc w:val="both"/>
        <w:rPr>
          <w:rFonts w:cstheme="minorHAnsi"/>
          <w:sz w:val="24"/>
          <w:szCs w:val="24"/>
          <w:lang w:val="en-US"/>
        </w:rPr>
      </w:pPr>
      <w:r w:rsidRPr="00AF391B">
        <w:rPr>
          <w:rFonts w:cstheme="minorHAnsi"/>
          <w:sz w:val="24"/>
          <w:szCs w:val="24"/>
          <w:lang w:val="en-US"/>
        </w:rPr>
        <w:t xml:space="preserve">Social aspects are also very important in terms of tackling energy poverty and providing to all consumers accessibility to sustainable energy for their needs. These issues are correspondingly addressed in the NECP. Republic of Moldova has an ageing and continuously diminishing population </w:t>
      </w:r>
      <w:r w:rsidR="003D6288" w:rsidRPr="00AF391B">
        <w:rPr>
          <w:rFonts w:cstheme="minorHAnsi"/>
          <w:sz w:val="24"/>
          <w:szCs w:val="24"/>
          <w:lang w:val="en-US"/>
        </w:rPr>
        <w:t>that is ethnically and linguistically diverse, and still mostly rural</w:t>
      </w:r>
      <w:r w:rsidRPr="00AF391B">
        <w:rPr>
          <w:rFonts w:cstheme="minorHAnsi"/>
          <w:sz w:val="24"/>
          <w:szCs w:val="24"/>
          <w:lang w:val="en-US"/>
        </w:rPr>
        <w:t xml:space="preserve">. </w:t>
      </w:r>
    </w:p>
    <w:p w14:paraId="239A0D73" w14:textId="77777777" w:rsidR="003D6288" w:rsidRPr="00AF391B" w:rsidRDefault="00AB1C4A" w:rsidP="00F91E6F">
      <w:pPr>
        <w:spacing w:after="120"/>
        <w:jc w:val="both"/>
        <w:rPr>
          <w:rFonts w:cstheme="minorHAnsi"/>
          <w:sz w:val="24"/>
          <w:szCs w:val="24"/>
          <w:lang w:val="en-US"/>
        </w:rPr>
      </w:pPr>
      <w:r w:rsidRPr="00AF391B">
        <w:rPr>
          <w:rFonts w:cstheme="minorHAnsi"/>
          <w:sz w:val="24"/>
          <w:szCs w:val="24"/>
          <w:lang w:val="en-US"/>
        </w:rPr>
        <w:t xml:space="preserve">Moldova </w:t>
      </w:r>
      <w:r w:rsidR="003D6288" w:rsidRPr="00AF391B">
        <w:rPr>
          <w:rFonts w:cstheme="minorHAnsi"/>
          <w:sz w:val="24"/>
          <w:szCs w:val="24"/>
          <w:lang w:val="en-US"/>
        </w:rPr>
        <w:t xml:space="preserve">has a "frozen conflict" within its </w:t>
      </w:r>
      <w:r w:rsidRPr="00AF391B">
        <w:rPr>
          <w:rFonts w:cstheme="minorHAnsi"/>
          <w:sz w:val="24"/>
          <w:szCs w:val="24"/>
          <w:lang w:val="en-US"/>
        </w:rPr>
        <w:t>A</w:t>
      </w:r>
      <w:r w:rsidR="003D6288" w:rsidRPr="00AF391B">
        <w:rPr>
          <w:rFonts w:cstheme="minorHAnsi"/>
          <w:sz w:val="24"/>
          <w:szCs w:val="24"/>
          <w:lang w:val="en-US"/>
        </w:rPr>
        <w:t>dministrative-</w:t>
      </w:r>
      <w:r w:rsidRPr="00AF391B">
        <w:rPr>
          <w:rFonts w:cstheme="minorHAnsi"/>
          <w:sz w:val="24"/>
          <w:szCs w:val="24"/>
          <w:lang w:val="en-US"/>
        </w:rPr>
        <w:t>T</w:t>
      </w:r>
      <w:r w:rsidR="003D6288" w:rsidRPr="00AF391B">
        <w:rPr>
          <w:rFonts w:cstheme="minorHAnsi"/>
          <w:sz w:val="24"/>
          <w:szCs w:val="24"/>
          <w:lang w:val="en-US"/>
        </w:rPr>
        <w:t xml:space="preserve">erritorial </w:t>
      </w:r>
      <w:r w:rsidRPr="00AF391B">
        <w:rPr>
          <w:rFonts w:cstheme="minorHAnsi"/>
          <w:sz w:val="24"/>
          <w:szCs w:val="24"/>
          <w:lang w:val="en-US"/>
        </w:rPr>
        <w:t>U</w:t>
      </w:r>
      <w:r w:rsidR="003D6288" w:rsidRPr="00AF391B">
        <w:rPr>
          <w:rFonts w:cstheme="minorHAnsi"/>
          <w:sz w:val="24"/>
          <w:szCs w:val="24"/>
          <w:lang w:val="en-US"/>
        </w:rPr>
        <w:t xml:space="preserve">nit on the </w:t>
      </w:r>
      <w:r w:rsidRPr="00AF391B">
        <w:rPr>
          <w:rFonts w:cstheme="minorHAnsi"/>
          <w:sz w:val="24"/>
          <w:szCs w:val="24"/>
          <w:lang w:val="en-US"/>
        </w:rPr>
        <w:t>L</w:t>
      </w:r>
      <w:r w:rsidR="003D6288" w:rsidRPr="00AF391B">
        <w:rPr>
          <w:rFonts w:cstheme="minorHAnsi"/>
          <w:sz w:val="24"/>
          <w:szCs w:val="24"/>
          <w:lang w:val="en-US"/>
        </w:rPr>
        <w:t xml:space="preserve">eft </w:t>
      </w:r>
      <w:r w:rsidRPr="00AF391B">
        <w:rPr>
          <w:rFonts w:cstheme="minorHAnsi"/>
          <w:sz w:val="24"/>
          <w:szCs w:val="24"/>
          <w:lang w:val="en-US"/>
        </w:rPr>
        <w:t>B</w:t>
      </w:r>
      <w:r w:rsidR="003D6288" w:rsidRPr="00AF391B">
        <w:rPr>
          <w:rFonts w:cstheme="minorHAnsi"/>
          <w:sz w:val="24"/>
          <w:szCs w:val="24"/>
          <w:lang w:val="en-US"/>
        </w:rPr>
        <w:t xml:space="preserve">ank of the Dniester </w:t>
      </w:r>
      <w:r w:rsidRPr="00AF391B">
        <w:rPr>
          <w:rFonts w:cstheme="minorHAnsi"/>
          <w:sz w:val="24"/>
          <w:szCs w:val="24"/>
          <w:lang w:val="en-US"/>
        </w:rPr>
        <w:t>r</w:t>
      </w:r>
      <w:r w:rsidR="003D6288" w:rsidRPr="00AF391B">
        <w:rPr>
          <w:rFonts w:cstheme="minorHAnsi"/>
          <w:sz w:val="24"/>
          <w:szCs w:val="24"/>
          <w:lang w:val="en-US"/>
        </w:rPr>
        <w:t xml:space="preserve">iver (ATULBD) (also </w:t>
      </w:r>
      <w:r w:rsidR="00F91E6F" w:rsidRPr="00AF391B">
        <w:rPr>
          <w:rFonts w:cstheme="minorHAnsi"/>
          <w:sz w:val="24"/>
          <w:szCs w:val="24"/>
          <w:lang w:val="en-US"/>
        </w:rPr>
        <w:t>referred</w:t>
      </w:r>
      <w:r w:rsidR="003D6288" w:rsidRPr="00AF391B">
        <w:rPr>
          <w:rFonts w:cstheme="minorHAnsi"/>
          <w:sz w:val="24"/>
          <w:szCs w:val="24"/>
          <w:lang w:val="en-US"/>
        </w:rPr>
        <w:t xml:space="preserve"> to as ‘Transnistria’, or ‘the Transnistrian region’; the rest of the country’s territory controlled by constitutional authorities is sometimes </w:t>
      </w:r>
      <w:r w:rsidRPr="00AF391B">
        <w:rPr>
          <w:rFonts w:cstheme="minorHAnsi"/>
          <w:sz w:val="24"/>
          <w:szCs w:val="24"/>
          <w:lang w:val="en-US"/>
        </w:rPr>
        <w:t>referred</w:t>
      </w:r>
      <w:r w:rsidR="003D6288" w:rsidRPr="00AF391B">
        <w:rPr>
          <w:rFonts w:cstheme="minorHAnsi"/>
          <w:sz w:val="24"/>
          <w:szCs w:val="24"/>
          <w:lang w:val="en-US"/>
        </w:rPr>
        <w:t xml:space="preserve"> to in this document as ‘the Right bank of the Dniester River’). The NECP includes measures and </w:t>
      </w:r>
      <w:r w:rsidR="003D6288" w:rsidRPr="00AF391B">
        <w:rPr>
          <w:rFonts w:cstheme="minorHAnsi"/>
          <w:sz w:val="24"/>
          <w:szCs w:val="24"/>
          <w:lang w:val="en-US"/>
        </w:rPr>
        <w:lastRenderedPageBreak/>
        <w:t>policies only for the administratively controlled territory of the Republic of Moldova, as targets adopted within the Energy Community refer only to this part of its territory</w:t>
      </w:r>
      <w:r w:rsidR="003D6288" w:rsidRPr="00AF391B">
        <w:rPr>
          <w:rFonts w:cstheme="minorHAnsi"/>
          <w:sz w:val="24"/>
          <w:szCs w:val="24"/>
          <w:vertAlign w:val="superscript"/>
        </w:rPr>
        <w:footnoteReference w:id="1"/>
      </w:r>
      <w:r w:rsidR="003D6288" w:rsidRPr="00AF391B">
        <w:rPr>
          <w:rFonts w:cstheme="minorHAnsi"/>
          <w:sz w:val="24"/>
          <w:szCs w:val="24"/>
          <w:lang w:val="en-US"/>
        </w:rPr>
        <w:t xml:space="preserve">. </w:t>
      </w:r>
    </w:p>
    <w:p w14:paraId="6802AFAB" w14:textId="77777777" w:rsidR="003D6288" w:rsidRPr="00AF391B" w:rsidRDefault="00AB1C4A" w:rsidP="00F91E6F">
      <w:pPr>
        <w:spacing w:after="120"/>
        <w:jc w:val="both"/>
        <w:rPr>
          <w:rFonts w:cstheme="minorHAnsi"/>
          <w:sz w:val="24"/>
          <w:szCs w:val="24"/>
          <w:lang w:val="en-GB"/>
        </w:rPr>
      </w:pPr>
      <w:r w:rsidRPr="00AF391B">
        <w:rPr>
          <w:rFonts w:cstheme="minorHAnsi"/>
          <w:bCs/>
          <w:sz w:val="24"/>
          <w:szCs w:val="24"/>
          <w:lang w:val="en-US"/>
        </w:rPr>
        <w:t xml:space="preserve">Significant evolutions since 2019 in the legislative, socio-economic and geopolitical framework for energy and climate policies in the Republic of Moldova are reflected in the NECP. </w:t>
      </w:r>
      <w:r w:rsidR="003D6288" w:rsidRPr="00AF391B">
        <w:rPr>
          <w:rFonts w:cstheme="minorHAnsi"/>
          <w:sz w:val="24"/>
          <w:szCs w:val="24"/>
          <w:lang w:val="en-GB"/>
        </w:rPr>
        <w:t xml:space="preserve">Among Moldova’s key structural challenges, the energy sector figures prominently. Moldova imports all its primary fuel needs (gas and oil), and electricity production is concentrated in ATULBD, which supplies the rest of the country with almost 80% of its requirements (this indicator differs from year to year). Its electricity network is interconnected and synchronised with that of Ukraine - and with all of ENTSO-E through the neighbour country - Romania. Until recently, Moldova was heavily reliant upon Russian gas – only recently has a gas pipeline been built, connecting the Republic of Moldova to Romania and respectively to ENTSO-G.  </w:t>
      </w:r>
    </w:p>
    <w:p w14:paraId="68DC9815" w14:textId="77777777" w:rsidR="00F91E6F" w:rsidRPr="00AF391B" w:rsidRDefault="00F91E6F" w:rsidP="00F91E6F">
      <w:pPr>
        <w:spacing w:after="120"/>
        <w:jc w:val="both"/>
        <w:rPr>
          <w:rFonts w:cstheme="minorHAnsi"/>
          <w:b/>
          <w:bCs/>
          <w:i/>
          <w:sz w:val="24"/>
          <w:szCs w:val="24"/>
          <w:lang w:val="en-US"/>
        </w:rPr>
      </w:pPr>
      <w:r w:rsidRPr="00AF391B">
        <w:rPr>
          <w:rFonts w:cstheme="minorHAnsi"/>
          <w:b/>
          <w:bCs/>
          <w:i/>
          <w:sz w:val="24"/>
          <w:szCs w:val="24"/>
          <w:lang w:val="en-US"/>
        </w:rPr>
        <w:t>Meeting European Union’s and Energy Community’s expectations</w:t>
      </w:r>
    </w:p>
    <w:p w14:paraId="71C350F1" w14:textId="77777777" w:rsidR="003D6288" w:rsidRPr="00AF391B" w:rsidRDefault="003D6288" w:rsidP="00F91E6F">
      <w:pPr>
        <w:spacing w:after="120"/>
        <w:jc w:val="both"/>
        <w:rPr>
          <w:rFonts w:cstheme="minorHAnsi"/>
          <w:sz w:val="24"/>
          <w:szCs w:val="24"/>
          <w:lang w:val="en-US"/>
        </w:rPr>
      </w:pPr>
      <w:r w:rsidRPr="00AF391B">
        <w:rPr>
          <w:rFonts w:cstheme="minorHAnsi"/>
          <w:sz w:val="24"/>
          <w:szCs w:val="24"/>
          <w:lang w:val="en-US"/>
        </w:rPr>
        <w:t>The stabilization and resilience building of neighboring countries are the EU's main political priorities outlined in the European Neighborhood Policy (ENP) review of May 2017</w:t>
      </w:r>
      <w:r w:rsidRPr="00AF391B">
        <w:rPr>
          <w:rFonts w:cstheme="minorHAnsi"/>
          <w:sz w:val="24"/>
          <w:szCs w:val="24"/>
          <w:vertAlign w:val="superscript"/>
          <w:lang w:val="en-US"/>
        </w:rPr>
        <w:t xml:space="preserve"> </w:t>
      </w:r>
      <w:r w:rsidRPr="00AF391B">
        <w:rPr>
          <w:rFonts w:cstheme="minorHAnsi"/>
          <w:sz w:val="24"/>
          <w:szCs w:val="24"/>
          <w:lang w:val="en-US"/>
        </w:rPr>
        <w:t>and in the EU Global Strategy of June 2016</w:t>
      </w:r>
      <w:r w:rsidRPr="00AF391B">
        <w:rPr>
          <w:rStyle w:val="FootnoteReference"/>
          <w:rFonts w:asciiTheme="minorHAnsi" w:hAnsiTheme="minorHAnsi" w:cstheme="minorHAnsi"/>
          <w:sz w:val="24"/>
          <w:szCs w:val="24"/>
        </w:rPr>
        <w:footnoteReference w:id="2"/>
      </w:r>
      <w:r w:rsidRPr="00AF391B">
        <w:rPr>
          <w:rFonts w:cstheme="minorHAnsi"/>
          <w:sz w:val="24"/>
          <w:szCs w:val="24"/>
          <w:lang w:val="en-US"/>
        </w:rPr>
        <w:t>. Sustainable economic development is the key to stabilization and to strengthening European Neighborhood countries' ability to tackle some of the challenges that are also a concern to the EU – from migratory flows, to radicalization, social instability and the urgent need to provide positive perspectives for growing and predominantly young populations. In this regard, supporting Moldova's political, social and economic development opportunities towards political association and economic integration with the EU will contribute to NECP goals.</w:t>
      </w:r>
    </w:p>
    <w:p w14:paraId="15BD66AA" w14:textId="6EA2C372" w:rsidR="000A6988" w:rsidRDefault="003D6288" w:rsidP="00F91E6F">
      <w:pPr>
        <w:spacing w:after="120"/>
        <w:jc w:val="both"/>
        <w:rPr>
          <w:rFonts w:cstheme="minorHAnsi"/>
          <w:sz w:val="24"/>
          <w:szCs w:val="24"/>
          <w:lang w:val="en-GB"/>
        </w:rPr>
      </w:pPr>
      <w:r w:rsidRPr="00AF391B">
        <w:rPr>
          <w:rFonts w:cstheme="minorHAnsi"/>
          <w:sz w:val="24"/>
          <w:szCs w:val="24"/>
          <w:lang w:val="en-GB"/>
        </w:rPr>
        <w:t xml:space="preserve">The Energy Strategy 2030 of the Republic of Moldova has set the strategic objective of integrating the national energy market with the internal energy market of the European Union by fulfilling obligations under the Energy Community (EnC). However, this strategy is currently under the process of revision, and has been for quite some time. </w:t>
      </w:r>
    </w:p>
    <w:p w14:paraId="6D051C4B" w14:textId="159BD169" w:rsidR="003D6288" w:rsidRPr="00AF391B" w:rsidRDefault="003D6288" w:rsidP="00F91E6F">
      <w:pPr>
        <w:spacing w:after="120"/>
        <w:jc w:val="both"/>
        <w:rPr>
          <w:rFonts w:cstheme="minorHAnsi"/>
          <w:sz w:val="24"/>
          <w:szCs w:val="24"/>
          <w:lang w:val="en-GB"/>
        </w:rPr>
      </w:pPr>
      <w:r w:rsidRPr="00AF391B">
        <w:rPr>
          <w:rFonts w:cstheme="minorHAnsi"/>
          <w:sz w:val="24"/>
          <w:szCs w:val="24"/>
          <w:lang w:val="en-US"/>
        </w:rPr>
        <w:t xml:space="preserve">An energy market transformation is underway as part of the Energy Community Treaty implementation including the adoption of numerous pieces of legislation in </w:t>
      </w:r>
      <w:r w:rsidR="00AB1C4A" w:rsidRPr="00AF391B">
        <w:rPr>
          <w:rFonts w:cstheme="minorHAnsi"/>
          <w:sz w:val="24"/>
          <w:szCs w:val="24"/>
          <w:lang w:val="en-US"/>
        </w:rPr>
        <w:t xml:space="preserve">the period </w:t>
      </w:r>
      <w:r w:rsidRPr="00AF391B">
        <w:rPr>
          <w:rFonts w:cstheme="minorHAnsi"/>
          <w:sz w:val="24"/>
          <w:szCs w:val="24"/>
          <w:lang w:val="en-US"/>
        </w:rPr>
        <w:t>2019 – 202</w:t>
      </w:r>
      <w:r w:rsidR="00AB1C4A" w:rsidRPr="00AF391B">
        <w:rPr>
          <w:rFonts w:cstheme="minorHAnsi"/>
          <w:sz w:val="24"/>
          <w:szCs w:val="24"/>
          <w:lang w:val="en-US"/>
        </w:rPr>
        <w:t>3</w:t>
      </w:r>
      <w:r w:rsidRPr="00AF391B">
        <w:rPr>
          <w:rFonts w:cstheme="minorHAnsi"/>
          <w:sz w:val="24"/>
          <w:szCs w:val="24"/>
          <w:lang w:val="en-US"/>
        </w:rPr>
        <w:t>, which will have a strong direct and indirect impact on the NECP.</w:t>
      </w:r>
    </w:p>
    <w:p w14:paraId="781B5511" w14:textId="77777777" w:rsidR="003D6288" w:rsidRPr="00AF391B" w:rsidRDefault="003D6288" w:rsidP="00F91E6F">
      <w:pPr>
        <w:spacing w:after="120"/>
        <w:jc w:val="both"/>
        <w:rPr>
          <w:rFonts w:cstheme="minorHAnsi"/>
          <w:sz w:val="24"/>
          <w:szCs w:val="24"/>
          <w:lang w:val="en-GB"/>
        </w:rPr>
      </w:pPr>
      <w:r w:rsidRPr="00AF391B">
        <w:rPr>
          <w:rFonts w:cstheme="minorHAnsi"/>
          <w:sz w:val="24"/>
          <w:szCs w:val="24"/>
          <w:lang w:val="en-GB"/>
        </w:rPr>
        <w:t xml:space="preserve">Meeting Moldova’s obligations will require further transposition of the Energy Community </w:t>
      </w:r>
      <w:r w:rsidRPr="00AF391B">
        <w:rPr>
          <w:rFonts w:cstheme="minorHAnsi"/>
          <w:i/>
          <w:iCs/>
          <w:sz w:val="24"/>
          <w:szCs w:val="24"/>
          <w:lang w:val="en-GB"/>
        </w:rPr>
        <w:t>acquis</w:t>
      </w:r>
      <w:r w:rsidRPr="00AF391B">
        <w:rPr>
          <w:rFonts w:cstheme="minorHAnsi"/>
          <w:sz w:val="24"/>
          <w:szCs w:val="24"/>
          <w:lang w:val="en-GB"/>
        </w:rPr>
        <w:t xml:space="preserve"> into national legislation, consistent and determined implementation, further liberalization of the energy markets, development of renewable energy sources, and openness and increased interconnection to the EU energy systems, are some key factors for NECP. Interconnection with the EU will require both technical improvements and considerable investment in infrastructure.</w:t>
      </w:r>
    </w:p>
    <w:p w14:paraId="21339CDB" w14:textId="77777777" w:rsidR="00F91E6F" w:rsidRPr="00AF391B" w:rsidRDefault="00F91E6F" w:rsidP="00F91E6F">
      <w:pPr>
        <w:spacing w:after="120"/>
        <w:jc w:val="both"/>
        <w:rPr>
          <w:rFonts w:cstheme="minorHAnsi"/>
          <w:b/>
          <w:bCs/>
          <w:i/>
          <w:sz w:val="24"/>
          <w:szCs w:val="24"/>
          <w:lang w:val="en-US"/>
        </w:rPr>
      </w:pPr>
      <w:r w:rsidRPr="00AF391B">
        <w:rPr>
          <w:rFonts w:cstheme="minorHAnsi"/>
          <w:b/>
          <w:bCs/>
          <w:i/>
          <w:sz w:val="24"/>
          <w:szCs w:val="24"/>
          <w:lang w:val="en-US"/>
        </w:rPr>
        <w:t>Main stakeholders, participants and aspects related to regional cooperation</w:t>
      </w:r>
    </w:p>
    <w:p w14:paraId="54153574" w14:textId="77777777" w:rsidR="00093E93" w:rsidRPr="000A6988" w:rsidRDefault="00093E93" w:rsidP="00F91E6F">
      <w:pPr>
        <w:spacing w:after="120"/>
        <w:jc w:val="both"/>
        <w:rPr>
          <w:rFonts w:cstheme="minorHAnsi"/>
          <w:i/>
          <w:iCs/>
          <w:sz w:val="24"/>
          <w:szCs w:val="24"/>
          <w:lang w:val="en-US"/>
        </w:rPr>
      </w:pPr>
      <w:r w:rsidRPr="00AF391B">
        <w:rPr>
          <w:rFonts w:cstheme="minorHAnsi"/>
          <w:sz w:val="24"/>
          <w:szCs w:val="24"/>
          <w:lang w:val="en-US"/>
        </w:rPr>
        <w:t xml:space="preserve">During the development of the NECP scenarios in TIMES model, an inter-ministerial working group was created to discuss input data and assumptions, as well as the results of the energy and climate scenarios. Working meetings, involving modelling teams have also been held to </w:t>
      </w:r>
      <w:r w:rsidRPr="00AF391B">
        <w:rPr>
          <w:rFonts w:cstheme="minorHAnsi"/>
          <w:sz w:val="24"/>
          <w:szCs w:val="24"/>
          <w:lang w:val="en-US"/>
        </w:rPr>
        <w:lastRenderedPageBreak/>
        <w:t xml:space="preserve">discuss various measures included in the NECP. Furthermore, a Strategic Environmental Assessment has been developed for the NECP which was subject to the statutory period of public comment. </w:t>
      </w:r>
    </w:p>
    <w:p w14:paraId="4CB09050" w14:textId="77777777" w:rsidR="00093E93" w:rsidRPr="00AF391B" w:rsidRDefault="00093E93" w:rsidP="00F91E6F">
      <w:pPr>
        <w:spacing w:after="120"/>
        <w:jc w:val="both"/>
        <w:rPr>
          <w:rFonts w:cstheme="minorHAnsi"/>
          <w:sz w:val="24"/>
          <w:szCs w:val="24"/>
          <w:lang w:val="en-US"/>
        </w:rPr>
      </w:pPr>
      <w:r w:rsidRPr="00AF391B">
        <w:rPr>
          <w:rFonts w:cstheme="minorHAnsi"/>
          <w:sz w:val="24"/>
          <w:szCs w:val="24"/>
          <w:lang w:val="en-US"/>
        </w:rPr>
        <w:t xml:space="preserve">As part of the drafting process, the NECP was distributed for consultations with main stakeholders (Ministry of Energy, Ministry of Environment, Energy Efficiency Agency, high level Advisers, National Agency for Regulation in Energy, other donors supporting development of energy sector), including social partners, and civil society. </w:t>
      </w:r>
    </w:p>
    <w:p w14:paraId="2C9D197E" w14:textId="77777777" w:rsidR="001F0E2A" w:rsidRPr="00AF391B" w:rsidRDefault="001F0E2A" w:rsidP="00F91E6F">
      <w:pPr>
        <w:spacing w:after="120"/>
        <w:jc w:val="both"/>
        <w:rPr>
          <w:rFonts w:cstheme="minorHAnsi"/>
          <w:sz w:val="24"/>
          <w:szCs w:val="24"/>
          <w:lang w:val="en-US"/>
        </w:rPr>
      </w:pPr>
      <w:r w:rsidRPr="00AF391B">
        <w:rPr>
          <w:rFonts w:cstheme="minorHAnsi"/>
          <w:sz w:val="24"/>
          <w:szCs w:val="24"/>
          <w:lang w:val="en-US"/>
        </w:rPr>
        <w:t>The Energy Community Secretariat was responsible for direct communication with national stakeholders in energy and climate change policy. During the preparation of the NECP, all updates and relevant Directives adopted by the Ministerial Council of the Energy Community were taken in consideration and applied by all involved national stakeholders.</w:t>
      </w:r>
    </w:p>
    <w:p w14:paraId="21E7B4BE" w14:textId="77777777" w:rsidR="00093E93" w:rsidRPr="00AF391B" w:rsidRDefault="00093E93" w:rsidP="00F91E6F">
      <w:pPr>
        <w:spacing w:after="120"/>
        <w:jc w:val="both"/>
        <w:rPr>
          <w:rFonts w:cstheme="minorHAnsi"/>
          <w:sz w:val="24"/>
          <w:szCs w:val="24"/>
          <w:lang w:val="en-US"/>
        </w:rPr>
      </w:pPr>
      <w:r w:rsidRPr="00AF391B">
        <w:rPr>
          <w:rFonts w:cstheme="minorHAnsi"/>
          <w:sz w:val="24"/>
          <w:szCs w:val="24"/>
          <w:lang w:val="en-US"/>
        </w:rPr>
        <w:t xml:space="preserve">The Republic of Moldova is a Contracting Party to the Energy Community and therefore participates in a number of working groups on climate, energy efficiency, renewable energy, etc. The best practices of the other Contracting Parties have been considered regarding issues identified and lessons learned in the NECP development process. </w:t>
      </w:r>
      <w:r w:rsidR="001F0E2A" w:rsidRPr="00AF391B">
        <w:rPr>
          <w:rFonts w:cstheme="minorHAnsi"/>
          <w:sz w:val="24"/>
          <w:szCs w:val="24"/>
          <w:lang w:val="en-US"/>
        </w:rPr>
        <w:t>Also, a</w:t>
      </w:r>
      <w:r w:rsidRPr="00AF391B">
        <w:rPr>
          <w:rFonts w:cstheme="minorHAnsi"/>
          <w:sz w:val="24"/>
          <w:szCs w:val="24"/>
          <w:lang w:val="en-US"/>
        </w:rPr>
        <w:t>spects related to cross-border projects (such as electricity and natural gas trading) have been discussed with regional trading partners, and are updated in a continuous communication process. Moreover, the NECP of Romania was analyzed, as well as some regional studies.</w:t>
      </w:r>
    </w:p>
    <w:p w14:paraId="510D98D1" w14:textId="77777777" w:rsidR="00093E93" w:rsidRPr="00AF391B" w:rsidRDefault="00093E93" w:rsidP="00F91E6F">
      <w:pPr>
        <w:spacing w:after="120"/>
        <w:jc w:val="both"/>
        <w:rPr>
          <w:rFonts w:cstheme="minorHAnsi"/>
          <w:sz w:val="24"/>
          <w:szCs w:val="24"/>
          <w:lang w:val="en-US"/>
        </w:rPr>
      </w:pPr>
      <w:r w:rsidRPr="00AF391B">
        <w:rPr>
          <w:rFonts w:cstheme="minorHAnsi"/>
          <w:sz w:val="24"/>
          <w:szCs w:val="24"/>
          <w:lang w:val="en-US"/>
        </w:rPr>
        <w:t>Regional cooperation is considered in the NECP as specific measures to be implemented and described</w:t>
      </w:r>
      <w:r w:rsidR="001F0E2A" w:rsidRPr="00AF391B">
        <w:rPr>
          <w:rFonts w:cstheme="minorHAnsi"/>
          <w:sz w:val="24"/>
          <w:szCs w:val="24"/>
          <w:lang w:val="en-US"/>
        </w:rPr>
        <w:t xml:space="preserve">, mainly related to </w:t>
      </w:r>
      <w:r w:rsidRPr="00AF391B">
        <w:rPr>
          <w:rFonts w:cstheme="minorHAnsi"/>
          <w:sz w:val="24"/>
          <w:szCs w:val="24"/>
          <w:lang w:val="en-US"/>
        </w:rPr>
        <w:t>ongoing work on integration of energy markets in ENTSO-E and ENTSO-G in order to promote energy security and reduce overall system costs.</w:t>
      </w:r>
      <w:r w:rsidR="001F0E2A" w:rsidRPr="00AF391B">
        <w:rPr>
          <w:rFonts w:cstheme="minorHAnsi"/>
          <w:sz w:val="24"/>
          <w:szCs w:val="24"/>
          <w:lang w:val="en-US"/>
        </w:rPr>
        <w:t xml:space="preserve"> </w:t>
      </w:r>
      <w:r w:rsidRPr="00AF391B">
        <w:rPr>
          <w:rFonts w:cstheme="minorHAnsi"/>
          <w:sz w:val="24"/>
          <w:szCs w:val="24"/>
          <w:lang w:val="en-US"/>
        </w:rPr>
        <w:t>Moldova</w:t>
      </w:r>
      <w:r w:rsidR="001F0E2A" w:rsidRPr="00AF391B">
        <w:rPr>
          <w:rFonts w:cstheme="minorHAnsi"/>
          <w:sz w:val="24"/>
          <w:szCs w:val="24"/>
          <w:lang w:val="en-US"/>
        </w:rPr>
        <w:t xml:space="preserve">’s </w:t>
      </w:r>
      <w:r w:rsidRPr="00AF391B">
        <w:rPr>
          <w:rFonts w:cstheme="minorHAnsi"/>
          <w:sz w:val="24"/>
          <w:szCs w:val="24"/>
          <w:lang w:val="en-US"/>
        </w:rPr>
        <w:t>participa</w:t>
      </w:r>
      <w:r w:rsidR="001F0E2A" w:rsidRPr="00AF391B">
        <w:rPr>
          <w:rFonts w:cstheme="minorHAnsi"/>
          <w:sz w:val="24"/>
          <w:szCs w:val="24"/>
          <w:lang w:val="en-US"/>
        </w:rPr>
        <w:t xml:space="preserve">tion </w:t>
      </w:r>
      <w:r w:rsidRPr="00AF391B">
        <w:rPr>
          <w:rFonts w:cstheme="minorHAnsi"/>
          <w:sz w:val="24"/>
          <w:szCs w:val="24"/>
          <w:lang w:val="en-US"/>
        </w:rPr>
        <w:t xml:space="preserve">in </w:t>
      </w:r>
      <w:r w:rsidR="001F0E2A" w:rsidRPr="00AF391B">
        <w:rPr>
          <w:rFonts w:cstheme="minorHAnsi"/>
          <w:sz w:val="24"/>
          <w:szCs w:val="24"/>
          <w:lang w:val="en-US"/>
        </w:rPr>
        <w:t>EU</w:t>
      </w:r>
      <w:r w:rsidRPr="00AF391B">
        <w:rPr>
          <w:rFonts w:cstheme="minorHAnsi"/>
          <w:sz w:val="24"/>
          <w:szCs w:val="24"/>
          <w:lang w:val="en-US"/>
        </w:rPr>
        <w:t xml:space="preserve"> research and development program</w:t>
      </w:r>
      <w:r w:rsidR="001F0E2A" w:rsidRPr="00AF391B">
        <w:rPr>
          <w:rFonts w:cstheme="minorHAnsi"/>
          <w:sz w:val="24"/>
          <w:szCs w:val="24"/>
          <w:lang w:val="en-US"/>
        </w:rPr>
        <w:t xml:space="preserve">s is accounted for. </w:t>
      </w:r>
      <w:r w:rsidRPr="00AF391B">
        <w:rPr>
          <w:rFonts w:cstheme="minorHAnsi"/>
          <w:sz w:val="24"/>
          <w:szCs w:val="24"/>
          <w:lang w:val="en-US"/>
        </w:rPr>
        <w:t xml:space="preserve">Active involvement of Moldova in common challenges at regional level contributes to optimization of resources for </w:t>
      </w:r>
      <w:r w:rsidR="001F0E2A" w:rsidRPr="00AF391B">
        <w:rPr>
          <w:rFonts w:cstheme="minorHAnsi"/>
          <w:sz w:val="24"/>
          <w:szCs w:val="24"/>
          <w:lang w:val="en-US"/>
        </w:rPr>
        <w:t>the achievement of n</w:t>
      </w:r>
      <w:r w:rsidRPr="00AF391B">
        <w:rPr>
          <w:rFonts w:cstheme="minorHAnsi"/>
          <w:sz w:val="24"/>
          <w:szCs w:val="24"/>
          <w:lang w:val="en-US"/>
        </w:rPr>
        <w:t>ational and regional targets.</w:t>
      </w:r>
    </w:p>
    <w:p w14:paraId="1D316B3D" w14:textId="77777777" w:rsidR="00BA295D" w:rsidRPr="00AF391B" w:rsidRDefault="00BA295D" w:rsidP="00B6327C">
      <w:pPr>
        <w:pStyle w:val="ListParagraph"/>
        <w:numPr>
          <w:ilvl w:val="0"/>
          <w:numId w:val="11"/>
        </w:numPr>
        <w:jc w:val="both"/>
        <w:rPr>
          <w:rFonts w:cstheme="minorHAnsi"/>
          <w:b/>
          <w:sz w:val="24"/>
          <w:szCs w:val="24"/>
        </w:rPr>
      </w:pPr>
      <w:r w:rsidRPr="00AF391B">
        <w:rPr>
          <w:rFonts w:cstheme="minorHAnsi"/>
          <w:b/>
          <w:sz w:val="24"/>
          <w:szCs w:val="24"/>
        </w:rPr>
        <w:t>National objectives and targets</w:t>
      </w:r>
    </w:p>
    <w:p w14:paraId="0BEBD49C" w14:textId="77777777" w:rsidR="00037449" w:rsidRPr="00AF391B" w:rsidRDefault="00037449" w:rsidP="003D6288">
      <w:pPr>
        <w:jc w:val="both"/>
        <w:rPr>
          <w:rFonts w:cstheme="minorHAnsi"/>
          <w:b/>
          <w:bCs/>
          <w:i/>
          <w:iCs/>
          <w:sz w:val="24"/>
          <w:szCs w:val="24"/>
          <w:lang w:val="en-US"/>
        </w:rPr>
      </w:pPr>
      <w:r w:rsidRPr="00AF391B">
        <w:rPr>
          <w:rFonts w:cstheme="minorHAnsi"/>
          <w:b/>
          <w:bCs/>
          <w:i/>
          <w:iCs/>
          <w:sz w:val="24"/>
          <w:szCs w:val="24"/>
          <w:lang w:val="en-US"/>
        </w:rPr>
        <w:t xml:space="preserve">Dimension Decarbonization </w:t>
      </w:r>
    </w:p>
    <w:p w14:paraId="71482927" w14:textId="77777777" w:rsidR="0038491D" w:rsidRPr="00AF391B" w:rsidRDefault="003D6288" w:rsidP="003D6288">
      <w:pPr>
        <w:jc w:val="both"/>
        <w:rPr>
          <w:rFonts w:cstheme="minorHAnsi"/>
          <w:sz w:val="24"/>
          <w:szCs w:val="24"/>
          <w:lang w:val="en-GB"/>
        </w:rPr>
      </w:pPr>
      <w:r w:rsidRPr="00AF391B">
        <w:rPr>
          <w:rFonts w:cstheme="minorHAnsi"/>
          <w:sz w:val="24"/>
          <w:szCs w:val="24"/>
          <w:lang w:val="en-US"/>
        </w:rPr>
        <w:t xml:space="preserve">The </w:t>
      </w:r>
      <w:r w:rsidRPr="00AF391B">
        <w:rPr>
          <w:rFonts w:cstheme="minorHAnsi"/>
          <w:bCs/>
          <w:sz w:val="24"/>
          <w:szCs w:val="24"/>
          <w:lang w:val="en-US"/>
        </w:rPr>
        <w:t xml:space="preserve">Decarbonization </w:t>
      </w:r>
      <w:r w:rsidRPr="00AF391B">
        <w:rPr>
          <w:rFonts w:cstheme="minorHAnsi"/>
          <w:sz w:val="24"/>
          <w:szCs w:val="24"/>
          <w:lang w:val="en-US"/>
        </w:rPr>
        <w:t xml:space="preserve">dimension of Moldova is based on the Paris Agreement of 2015, which is intended to </w:t>
      </w:r>
      <w:r w:rsidRPr="00AF391B">
        <w:rPr>
          <w:rFonts w:cstheme="minorHAnsi"/>
          <w:sz w:val="24"/>
          <w:szCs w:val="24"/>
          <w:lang w:val="en-GB"/>
        </w:rPr>
        <w:t xml:space="preserve">limit global warming to well below 2 degrees Celsius when compared with pre-industrial levels. </w:t>
      </w:r>
    </w:p>
    <w:p w14:paraId="785FBE1E" w14:textId="77777777" w:rsidR="0038491D" w:rsidRPr="00AF391B" w:rsidRDefault="0038491D" w:rsidP="003D6288">
      <w:pPr>
        <w:jc w:val="both"/>
        <w:rPr>
          <w:rFonts w:cstheme="minorHAnsi"/>
          <w:b/>
          <w:bCs/>
          <w:i/>
          <w:sz w:val="24"/>
          <w:szCs w:val="24"/>
          <w:lang w:val="en-GB"/>
        </w:rPr>
      </w:pPr>
      <w:r w:rsidRPr="00AF391B">
        <w:rPr>
          <w:rFonts w:cstheme="minorHAnsi"/>
          <w:b/>
          <w:bCs/>
          <w:i/>
          <w:sz w:val="24"/>
          <w:szCs w:val="24"/>
          <w:lang w:val="en-GB"/>
        </w:rPr>
        <w:t>GHG emissions and removals</w:t>
      </w:r>
    </w:p>
    <w:p w14:paraId="0C0D75F8" w14:textId="77777777" w:rsidR="003D6288" w:rsidRPr="00AF391B" w:rsidRDefault="003D6288" w:rsidP="003D6288">
      <w:pPr>
        <w:jc w:val="both"/>
        <w:rPr>
          <w:rFonts w:cstheme="minorHAnsi"/>
          <w:sz w:val="24"/>
          <w:szCs w:val="24"/>
          <w:lang w:val="en-GB"/>
        </w:rPr>
      </w:pPr>
      <w:r w:rsidRPr="00AF391B">
        <w:rPr>
          <w:rFonts w:cstheme="minorHAnsi"/>
          <w:sz w:val="24"/>
          <w:szCs w:val="24"/>
          <w:lang w:val="en-GB"/>
        </w:rPr>
        <w:t xml:space="preserve">Moldova is a signatory to the Paris Agreement and in March 2020 presented its updated Nationally Determined Contribution (NDC), to the UNFCCC Secretariat.  The updated NDC of Moldova includes: </w:t>
      </w:r>
    </w:p>
    <w:p w14:paraId="7B736250" w14:textId="77777777" w:rsidR="003D6288" w:rsidRPr="00AF391B" w:rsidRDefault="003D6288" w:rsidP="003D6288">
      <w:pPr>
        <w:pStyle w:val="ListParagraph"/>
        <w:numPr>
          <w:ilvl w:val="0"/>
          <w:numId w:val="2"/>
        </w:numPr>
        <w:jc w:val="both"/>
        <w:rPr>
          <w:rFonts w:cstheme="minorHAnsi"/>
          <w:sz w:val="24"/>
          <w:szCs w:val="24"/>
          <w:lang w:val="en-GB"/>
        </w:rPr>
      </w:pPr>
      <w:r w:rsidRPr="00AF391B">
        <w:rPr>
          <w:rFonts w:cstheme="minorHAnsi"/>
          <w:sz w:val="24"/>
          <w:szCs w:val="24"/>
          <w:lang w:val="en-GB"/>
        </w:rPr>
        <w:t>A new economy-wide unconditional target</w:t>
      </w:r>
      <w:r w:rsidRPr="00AF391B">
        <w:rPr>
          <w:rFonts w:cstheme="minorHAnsi"/>
          <w:sz w:val="24"/>
          <w:szCs w:val="24"/>
          <w:vertAlign w:val="superscript"/>
          <w:lang w:val="en-GB"/>
        </w:rPr>
        <w:footnoteReference w:id="3"/>
      </w:r>
      <w:r w:rsidRPr="00AF391B">
        <w:rPr>
          <w:rFonts w:cstheme="minorHAnsi"/>
          <w:sz w:val="24"/>
          <w:szCs w:val="24"/>
          <w:lang w:val="en-GB"/>
        </w:rPr>
        <w:t xml:space="preserve"> to reduce greenhouse gas emissions by </w:t>
      </w:r>
      <w:r w:rsidRPr="00AF391B">
        <w:rPr>
          <w:rFonts w:cstheme="minorHAnsi"/>
          <w:b/>
          <w:sz w:val="24"/>
          <w:szCs w:val="24"/>
          <w:lang w:val="en-GB"/>
        </w:rPr>
        <w:t>70%</w:t>
      </w:r>
      <w:r w:rsidRPr="00AF391B">
        <w:rPr>
          <w:rFonts w:cstheme="minorHAnsi"/>
          <w:sz w:val="24"/>
          <w:szCs w:val="24"/>
          <w:lang w:val="en-GB"/>
        </w:rPr>
        <w:t xml:space="preserve"> below 1990 levels by 2030</w:t>
      </w:r>
      <w:r w:rsidR="00037449" w:rsidRPr="00AF391B">
        <w:rPr>
          <w:rFonts w:cstheme="minorHAnsi"/>
          <w:sz w:val="24"/>
          <w:szCs w:val="24"/>
          <w:lang w:val="en-GB"/>
        </w:rPr>
        <w:t xml:space="preserve"> </w:t>
      </w:r>
      <w:r w:rsidR="00037449" w:rsidRPr="00AF391B">
        <w:rPr>
          <w:rFonts w:cstheme="minorHAnsi"/>
          <w:sz w:val="24"/>
          <w:szCs w:val="24"/>
        </w:rPr>
        <w:t>– equivalent to a maximum of 13.6 Mt CO</w:t>
      </w:r>
      <w:r w:rsidR="00037449" w:rsidRPr="00AF391B">
        <w:rPr>
          <w:rFonts w:cstheme="minorHAnsi"/>
          <w:sz w:val="24"/>
          <w:szCs w:val="24"/>
          <w:vertAlign w:val="subscript"/>
        </w:rPr>
        <w:t xml:space="preserve">2 </w:t>
      </w:r>
      <w:r w:rsidR="00037449" w:rsidRPr="00AF391B">
        <w:rPr>
          <w:rFonts w:cstheme="minorHAnsi"/>
          <w:sz w:val="24"/>
          <w:szCs w:val="24"/>
        </w:rPr>
        <w:t>eq, including the LULUCF sector</w:t>
      </w:r>
      <w:r w:rsidRPr="00AF391B">
        <w:rPr>
          <w:rFonts w:cstheme="minorHAnsi"/>
          <w:sz w:val="24"/>
          <w:szCs w:val="24"/>
          <w:lang w:val="en-GB"/>
        </w:rPr>
        <w:t xml:space="preserve">. According to the latest National Inventory Report </w:t>
      </w:r>
      <w:r w:rsidRPr="00AF391B">
        <w:rPr>
          <w:rFonts w:cstheme="minorHAnsi"/>
          <w:i/>
          <w:sz w:val="24"/>
          <w:szCs w:val="24"/>
          <w:lang w:val="en-GB"/>
        </w:rPr>
        <w:t xml:space="preserve">“1990-2020: </w:t>
      </w:r>
      <w:r w:rsidRPr="00AF391B">
        <w:rPr>
          <w:rFonts w:cstheme="minorHAnsi"/>
          <w:i/>
          <w:sz w:val="24"/>
          <w:szCs w:val="24"/>
          <w:lang w:val="en-GB"/>
        </w:rPr>
        <w:lastRenderedPageBreak/>
        <w:t>Greenhouse Gases and Sinks in the Republic of Moldova”</w:t>
      </w:r>
      <w:r w:rsidRPr="00AF391B">
        <w:rPr>
          <w:rFonts w:cstheme="minorHAnsi"/>
          <w:i/>
          <w:sz w:val="24"/>
          <w:szCs w:val="24"/>
          <w:vertAlign w:val="superscript"/>
          <w:lang w:val="en-GB"/>
        </w:rPr>
        <w:t xml:space="preserve"> </w:t>
      </w:r>
      <w:r w:rsidRPr="00AF391B">
        <w:rPr>
          <w:rFonts w:cstheme="minorHAnsi"/>
          <w:i/>
          <w:sz w:val="24"/>
          <w:szCs w:val="24"/>
          <w:vertAlign w:val="superscript"/>
          <w:lang w:val="en-GB"/>
        </w:rPr>
        <w:footnoteReference w:id="4"/>
      </w:r>
      <w:r w:rsidRPr="00AF391B">
        <w:rPr>
          <w:rFonts w:cstheme="minorHAnsi"/>
          <w:sz w:val="24"/>
          <w:szCs w:val="24"/>
          <w:lang w:val="en-GB"/>
        </w:rPr>
        <w:t xml:space="preserve">, in 2020 Greenhouse Gas (GHG) emissions were </w:t>
      </w:r>
      <w:r w:rsidRPr="00AF391B">
        <w:rPr>
          <w:rFonts w:cstheme="minorHAnsi"/>
          <w:b/>
          <w:bCs/>
          <w:sz w:val="24"/>
          <w:szCs w:val="24"/>
          <w:lang w:val="en-GB"/>
        </w:rPr>
        <w:t xml:space="preserve">68.7% </w:t>
      </w:r>
      <w:r w:rsidRPr="00AF391B">
        <w:rPr>
          <w:rFonts w:cstheme="minorHAnsi"/>
          <w:sz w:val="24"/>
          <w:szCs w:val="24"/>
          <w:lang w:val="en-GB"/>
        </w:rPr>
        <w:t xml:space="preserve">less than in 1990. </w:t>
      </w:r>
    </w:p>
    <w:p w14:paraId="148F923F" w14:textId="77777777" w:rsidR="003D6288" w:rsidRPr="00AF391B" w:rsidRDefault="003D6288" w:rsidP="003D6288">
      <w:pPr>
        <w:pStyle w:val="ListParagraph"/>
        <w:numPr>
          <w:ilvl w:val="0"/>
          <w:numId w:val="2"/>
        </w:numPr>
        <w:jc w:val="both"/>
        <w:rPr>
          <w:rFonts w:cstheme="minorHAnsi"/>
          <w:sz w:val="24"/>
          <w:szCs w:val="24"/>
          <w:lang w:val="en-GB"/>
        </w:rPr>
      </w:pPr>
      <w:r w:rsidRPr="00AF391B">
        <w:rPr>
          <w:rFonts w:cstheme="minorHAnsi"/>
          <w:sz w:val="24"/>
          <w:szCs w:val="24"/>
          <w:lang w:val="en-GB"/>
        </w:rPr>
        <w:t>A new economy-wide conditional target</w:t>
      </w:r>
      <w:r w:rsidRPr="00AF391B">
        <w:rPr>
          <w:rFonts w:cstheme="minorHAnsi"/>
          <w:sz w:val="24"/>
          <w:szCs w:val="24"/>
          <w:vertAlign w:val="superscript"/>
          <w:lang w:val="en-GB"/>
        </w:rPr>
        <w:footnoteReference w:id="5"/>
      </w:r>
      <w:r w:rsidRPr="00AF391B">
        <w:rPr>
          <w:rFonts w:cstheme="minorHAnsi"/>
          <w:sz w:val="24"/>
          <w:szCs w:val="24"/>
          <w:lang w:val="en-GB"/>
        </w:rPr>
        <w:t xml:space="preserve">, under which emissions could be reduced by up to </w:t>
      </w:r>
      <w:r w:rsidRPr="00AF391B">
        <w:rPr>
          <w:rFonts w:cstheme="minorHAnsi"/>
          <w:b/>
          <w:sz w:val="24"/>
          <w:szCs w:val="24"/>
          <w:lang w:val="en-GB"/>
        </w:rPr>
        <w:t>88%</w:t>
      </w:r>
      <w:r w:rsidRPr="00AF391B">
        <w:rPr>
          <w:rFonts w:cstheme="minorHAnsi"/>
          <w:sz w:val="24"/>
          <w:szCs w:val="24"/>
          <w:lang w:val="en-GB"/>
        </w:rPr>
        <w:t xml:space="preserve"> below 1990 levels. </w:t>
      </w:r>
    </w:p>
    <w:p w14:paraId="62EA460A" w14:textId="77777777" w:rsidR="00037449" w:rsidRPr="00AF391B" w:rsidRDefault="00037449" w:rsidP="003D6288">
      <w:pPr>
        <w:jc w:val="both"/>
        <w:rPr>
          <w:rFonts w:cstheme="minorHAnsi"/>
          <w:sz w:val="24"/>
          <w:szCs w:val="24"/>
          <w:lang w:val="en-US"/>
        </w:rPr>
      </w:pPr>
      <w:r w:rsidRPr="00AF391B">
        <w:rPr>
          <w:rFonts w:cstheme="minorHAnsi"/>
          <w:sz w:val="24"/>
          <w:szCs w:val="24"/>
          <w:lang w:val="en-US"/>
        </w:rPr>
        <w:t xml:space="preserve">As a Contracting Party to EnC, the Republic of Moldova should reduce the </w:t>
      </w:r>
      <w:r w:rsidRPr="00AF391B">
        <w:rPr>
          <w:rFonts w:cstheme="minorHAnsi"/>
          <w:color w:val="333333"/>
          <w:sz w:val="24"/>
          <w:szCs w:val="24"/>
          <w:shd w:val="clear" w:color="auto" w:fill="FFFFFF"/>
          <w:lang w:val="en-US"/>
        </w:rPr>
        <w:t xml:space="preserve">net GHG emissions in 2030 by </w:t>
      </w:r>
      <w:r w:rsidRPr="00AF391B">
        <w:rPr>
          <w:rFonts w:cstheme="minorHAnsi"/>
          <w:b/>
          <w:color w:val="333333"/>
          <w:sz w:val="24"/>
          <w:szCs w:val="24"/>
          <w:shd w:val="clear" w:color="auto" w:fill="FFFFFF"/>
          <w:lang w:val="en-US"/>
        </w:rPr>
        <w:t>68.6%</w:t>
      </w:r>
      <w:r w:rsidRPr="00AF391B">
        <w:rPr>
          <w:rFonts w:cstheme="minorHAnsi"/>
          <w:color w:val="333333"/>
          <w:sz w:val="24"/>
          <w:szCs w:val="24"/>
          <w:shd w:val="clear" w:color="auto" w:fill="FFFFFF"/>
          <w:lang w:val="en-US"/>
        </w:rPr>
        <w:t xml:space="preserve">, or GHG emissions should not exceed </w:t>
      </w:r>
      <w:r w:rsidRPr="00AF391B">
        <w:rPr>
          <w:rFonts w:cstheme="minorHAnsi"/>
          <w:b/>
          <w:color w:val="333333"/>
          <w:sz w:val="24"/>
          <w:szCs w:val="24"/>
          <w:shd w:val="clear" w:color="auto" w:fill="FFFFFF"/>
          <w:lang w:val="en-US"/>
        </w:rPr>
        <w:t>9.1 Mt CO</w:t>
      </w:r>
      <w:r w:rsidRPr="00AF391B">
        <w:rPr>
          <w:rFonts w:cstheme="minorHAnsi"/>
          <w:b/>
          <w:color w:val="333333"/>
          <w:sz w:val="24"/>
          <w:szCs w:val="24"/>
          <w:shd w:val="clear" w:color="auto" w:fill="FFFFFF"/>
          <w:vertAlign w:val="subscript"/>
          <w:lang w:val="en-US"/>
        </w:rPr>
        <w:t xml:space="preserve">2 </w:t>
      </w:r>
      <w:r w:rsidRPr="00AF391B">
        <w:rPr>
          <w:rFonts w:cstheme="minorHAnsi"/>
          <w:b/>
          <w:color w:val="333333"/>
          <w:sz w:val="24"/>
          <w:szCs w:val="24"/>
          <w:shd w:val="clear" w:color="auto" w:fill="FFFFFF"/>
          <w:lang w:val="en-US"/>
        </w:rPr>
        <w:t>eq</w:t>
      </w:r>
      <w:r w:rsidRPr="00AF391B">
        <w:rPr>
          <w:rFonts w:cstheme="minorHAnsi"/>
          <w:color w:val="333333"/>
          <w:sz w:val="24"/>
          <w:szCs w:val="24"/>
          <w:shd w:val="clear" w:color="auto" w:fill="FFFFFF"/>
          <w:lang w:val="en-US"/>
        </w:rPr>
        <w:t xml:space="preserve">. There is no separate target for non-ETS sectors for Moldova. </w:t>
      </w:r>
      <w:r w:rsidRPr="00AF391B">
        <w:rPr>
          <w:rFonts w:cstheme="minorHAnsi"/>
          <w:sz w:val="24"/>
          <w:szCs w:val="24"/>
          <w:lang w:val="en-US"/>
        </w:rPr>
        <w:t>Moldova also does not have any specific targets for LULUCF sector within EnC.</w:t>
      </w:r>
    </w:p>
    <w:p w14:paraId="508DCE97" w14:textId="77777777" w:rsidR="003D6288" w:rsidRPr="00AF391B" w:rsidRDefault="003D6288" w:rsidP="003D6288">
      <w:pPr>
        <w:jc w:val="both"/>
        <w:rPr>
          <w:rFonts w:cstheme="minorHAnsi"/>
          <w:sz w:val="24"/>
          <w:szCs w:val="24"/>
          <w:lang w:val="en-US"/>
        </w:rPr>
      </w:pPr>
      <w:r w:rsidRPr="00AF391B">
        <w:rPr>
          <w:rFonts w:cstheme="minorHAnsi"/>
          <w:sz w:val="24"/>
          <w:szCs w:val="24"/>
          <w:lang w:val="en-US"/>
        </w:rPr>
        <w:t>Moldova has submitted in 2023 its Fifth National Communication to UNFCCC, with detailed assessment of decarbonization measures for all sectors</w:t>
      </w:r>
      <w:r w:rsidRPr="00AF391B">
        <w:rPr>
          <w:rStyle w:val="FootnoteReference"/>
          <w:rFonts w:asciiTheme="minorHAnsi" w:hAnsiTheme="minorHAnsi" w:cstheme="minorHAnsi"/>
          <w:sz w:val="24"/>
          <w:szCs w:val="24"/>
        </w:rPr>
        <w:footnoteReference w:id="6"/>
      </w:r>
      <w:r w:rsidRPr="00AF391B">
        <w:rPr>
          <w:rFonts w:cstheme="minorHAnsi"/>
          <w:sz w:val="24"/>
          <w:szCs w:val="24"/>
          <w:lang w:val="en-US"/>
        </w:rPr>
        <w:t>.</w:t>
      </w:r>
    </w:p>
    <w:p w14:paraId="6B3B5257" w14:textId="77777777" w:rsidR="0038491D" w:rsidRPr="00AF391B" w:rsidRDefault="0038491D" w:rsidP="003D6288">
      <w:pPr>
        <w:jc w:val="both"/>
        <w:rPr>
          <w:rFonts w:cstheme="minorHAnsi"/>
          <w:b/>
          <w:bCs/>
          <w:i/>
          <w:sz w:val="24"/>
          <w:szCs w:val="24"/>
          <w:lang w:val="en-US"/>
        </w:rPr>
      </w:pPr>
      <w:r w:rsidRPr="00AF391B">
        <w:rPr>
          <w:rFonts w:cstheme="minorHAnsi"/>
          <w:b/>
          <w:bCs/>
          <w:i/>
          <w:sz w:val="24"/>
          <w:szCs w:val="24"/>
          <w:lang w:val="en-US"/>
        </w:rPr>
        <w:t>Renewable energy (2030 Framework target)</w:t>
      </w:r>
    </w:p>
    <w:p w14:paraId="5DD2CB7D" w14:textId="77777777" w:rsidR="0038491D" w:rsidRPr="00AF391B" w:rsidRDefault="0038491D" w:rsidP="0038491D">
      <w:pPr>
        <w:jc w:val="both"/>
        <w:rPr>
          <w:rFonts w:cstheme="minorHAnsi"/>
          <w:sz w:val="24"/>
          <w:szCs w:val="24"/>
          <w:lang w:val="en-US"/>
        </w:rPr>
      </w:pPr>
      <w:r w:rsidRPr="00AF391B">
        <w:rPr>
          <w:rFonts w:cstheme="minorHAnsi"/>
          <w:sz w:val="24"/>
          <w:szCs w:val="24"/>
          <w:lang w:val="en-US"/>
        </w:rPr>
        <w:t xml:space="preserve">Moldova committed to a binding target of 17% of energy from renewable sources in gross final energy consumption by 2020, set by the EnC-MC decision in 2012, and a voluntary target of 20% by 2020 set in the National Energy Strategy 2030. The country exceeded its overall 2020 target of 17% by reaching 25.06% of renewable energy in 2020. However, only the sectoral target for heating and cooling was overreached, while contributions of renewable energy to electricity and transport are still very low. </w:t>
      </w:r>
    </w:p>
    <w:p w14:paraId="7AD56C39" w14:textId="77777777" w:rsidR="0038491D" w:rsidRPr="00AF391B" w:rsidRDefault="0038491D" w:rsidP="0038491D">
      <w:pPr>
        <w:jc w:val="both"/>
        <w:rPr>
          <w:rFonts w:cstheme="minorHAnsi"/>
          <w:sz w:val="24"/>
          <w:szCs w:val="24"/>
          <w:lang w:val="en-US"/>
        </w:rPr>
      </w:pPr>
      <w:r w:rsidRPr="00AF391B">
        <w:rPr>
          <w:rFonts w:cstheme="minorHAnsi"/>
          <w:sz w:val="24"/>
          <w:szCs w:val="24"/>
          <w:lang w:val="en-US"/>
        </w:rPr>
        <w:t xml:space="preserve">According to the Decision of the Ministerial Council of the Energy Community No. 2022/02/MC-EnC, Moldova has a target for share of energy from renewable sources in gross final energy consumption of </w:t>
      </w:r>
      <w:r w:rsidRPr="00AF391B">
        <w:rPr>
          <w:rFonts w:cstheme="minorHAnsi"/>
          <w:b/>
          <w:sz w:val="24"/>
          <w:szCs w:val="24"/>
          <w:lang w:val="en-US"/>
        </w:rPr>
        <w:t>27%</w:t>
      </w:r>
      <w:r w:rsidRPr="00AF391B">
        <w:rPr>
          <w:rFonts w:cstheme="minorHAnsi"/>
          <w:sz w:val="24"/>
          <w:szCs w:val="24"/>
          <w:lang w:val="en-US"/>
        </w:rPr>
        <w:t xml:space="preserve"> by 2030.</w:t>
      </w:r>
    </w:p>
    <w:p w14:paraId="68A5C389" w14:textId="77777777" w:rsidR="00037449" w:rsidRPr="00AF391B" w:rsidRDefault="00037449" w:rsidP="00037449">
      <w:pPr>
        <w:jc w:val="both"/>
        <w:rPr>
          <w:rFonts w:cstheme="minorHAnsi"/>
          <w:sz w:val="24"/>
          <w:szCs w:val="24"/>
          <w:lang w:val="en-US"/>
        </w:rPr>
      </w:pPr>
      <w:r w:rsidRPr="00AF391B">
        <w:rPr>
          <w:rFonts w:cstheme="minorHAnsi"/>
          <w:sz w:val="24"/>
          <w:szCs w:val="24"/>
          <w:lang w:val="en-US"/>
        </w:rPr>
        <w:t>In the NECP the share of renewable energy in gross final energy consumption was estimated based on two scenarios: WEP (with existing measures) scenario and WPM (with planned measures) scenario.</w:t>
      </w:r>
    </w:p>
    <w:p w14:paraId="3A4B5049" w14:textId="77777777" w:rsidR="0038491D" w:rsidRPr="00AF391B" w:rsidRDefault="00A342E5" w:rsidP="0038491D">
      <w:pPr>
        <w:jc w:val="both"/>
        <w:rPr>
          <w:rFonts w:cstheme="minorHAnsi"/>
          <w:sz w:val="24"/>
          <w:szCs w:val="24"/>
          <w:lang w:val="en-US"/>
        </w:rPr>
      </w:pPr>
      <w:r w:rsidRPr="00AF391B">
        <w:rPr>
          <w:rFonts w:cstheme="minorHAnsi"/>
          <w:sz w:val="24"/>
          <w:szCs w:val="24"/>
          <w:lang w:val="en-US"/>
        </w:rPr>
        <w:t xml:space="preserve">In the WEM scenario, the ratio of renewable energy to gross final energy consumption will be of 25.6% in 2030. In the WPM scenario, the ratio of renewable energy to gross final energy consumption is expected to reach 31.4% and thus to exceed the target set by the EnC, of 27% by 2030. </w:t>
      </w:r>
      <w:r w:rsidR="0038491D" w:rsidRPr="00AF391B">
        <w:rPr>
          <w:rFonts w:cstheme="minorHAnsi"/>
          <w:sz w:val="24"/>
          <w:szCs w:val="24"/>
          <w:lang w:val="en-US"/>
        </w:rPr>
        <w:t>In 2016, the share was 26.6%.</w:t>
      </w:r>
      <w:r w:rsidRPr="00AF391B">
        <w:rPr>
          <w:rFonts w:cstheme="minorHAnsi"/>
          <w:sz w:val="24"/>
          <w:szCs w:val="24"/>
          <w:lang w:val="en-US"/>
        </w:rPr>
        <w:t xml:space="preserve"> </w:t>
      </w:r>
    </w:p>
    <w:p w14:paraId="7653E179" w14:textId="77777777" w:rsidR="003D6288" w:rsidRPr="00AF391B" w:rsidRDefault="003D6288" w:rsidP="003D6288">
      <w:pPr>
        <w:jc w:val="both"/>
        <w:rPr>
          <w:rFonts w:cstheme="minorHAnsi"/>
          <w:sz w:val="24"/>
          <w:szCs w:val="24"/>
          <w:lang w:val="en-US"/>
        </w:rPr>
      </w:pPr>
      <w:r w:rsidRPr="00AF391B">
        <w:rPr>
          <w:rFonts w:cstheme="minorHAnsi"/>
          <w:sz w:val="24"/>
          <w:szCs w:val="24"/>
          <w:lang w:val="en-GB"/>
        </w:rPr>
        <w:t>The Law no. 10 of February 26</w:t>
      </w:r>
      <w:r w:rsidRPr="00AF391B">
        <w:rPr>
          <w:rFonts w:cstheme="minorHAnsi"/>
          <w:sz w:val="24"/>
          <w:szCs w:val="24"/>
          <w:vertAlign w:val="superscript"/>
          <w:lang w:val="en-GB"/>
        </w:rPr>
        <w:t>th</w:t>
      </w:r>
      <w:r w:rsidRPr="00AF391B">
        <w:rPr>
          <w:rFonts w:cstheme="minorHAnsi"/>
          <w:sz w:val="24"/>
          <w:szCs w:val="24"/>
          <w:lang w:val="en-GB"/>
        </w:rPr>
        <w:t>, 2016</w:t>
      </w:r>
      <w:r w:rsidRPr="00AF391B">
        <w:rPr>
          <w:rFonts w:cstheme="minorHAnsi"/>
          <w:sz w:val="24"/>
          <w:szCs w:val="24"/>
          <w:vertAlign w:val="superscript"/>
          <w:lang w:val="en-GB"/>
        </w:rPr>
        <w:footnoteReference w:id="7"/>
      </w:r>
      <w:r w:rsidRPr="00AF391B">
        <w:rPr>
          <w:rFonts w:cstheme="minorHAnsi"/>
          <w:sz w:val="24"/>
          <w:szCs w:val="24"/>
          <w:lang w:val="en-GB"/>
        </w:rPr>
        <w:t xml:space="preserve"> on promoting energy from renewable sources outlines the regulatory framework for renewable electricity. Government Decision no. 401 of 8 December 2021</w:t>
      </w:r>
      <w:r w:rsidRPr="00AF391B">
        <w:rPr>
          <w:rFonts w:cstheme="minorHAnsi"/>
          <w:sz w:val="24"/>
          <w:szCs w:val="24"/>
          <w:vertAlign w:val="superscript"/>
          <w:lang w:val="en-GB"/>
        </w:rPr>
        <w:footnoteReference w:id="8"/>
      </w:r>
      <w:r w:rsidRPr="00AF391B">
        <w:rPr>
          <w:rFonts w:cstheme="minorHAnsi"/>
          <w:sz w:val="24"/>
          <w:szCs w:val="24"/>
          <w:lang w:val="en-GB"/>
        </w:rPr>
        <w:t xml:space="preserve"> sets a maximum limit of</w:t>
      </w:r>
      <w:r w:rsidRPr="00AF391B">
        <w:rPr>
          <w:rFonts w:cstheme="minorHAnsi"/>
          <w:b/>
          <w:bCs/>
          <w:sz w:val="24"/>
          <w:szCs w:val="24"/>
          <w:lang w:val="en-GB"/>
        </w:rPr>
        <w:t xml:space="preserve"> 410 MW</w:t>
      </w:r>
      <w:r w:rsidRPr="00AF391B">
        <w:rPr>
          <w:rFonts w:cstheme="minorHAnsi"/>
          <w:sz w:val="24"/>
          <w:szCs w:val="24"/>
          <w:lang w:val="en-GB"/>
        </w:rPr>
        <w:t xml:space="preserve"> of renewable energy capacity to be reached by 2025. Out of this</w:t>
      </w:r>
      <w:r w:rsidR="00037449" w:rsidRPr="00AF391B">
        <w:rPr>
          <w:rFonts w:cstheme="minorHAnsi"/>
          <w:sz w:val="24"/>
          <w:szCs w:val="24"/>
          <w:lang w:val="en-GB"/>
        </w:rPr>
        <w:t>,</w:t>
      </w:r>
      <w:r w:rsidRPr="00AF391B">
        <w:rPr>
          <w:rFonts w:cstheme="minorHAnsi"/>
          <w:sz w:val="24"/>
          <w:szCs w:val="24"/>
          <w:lang w:val="en-GB"/>
        </w:rPr>
        <w:t xml:space="preserve"> </w:t>
      </w:r>
      <w:r w:rsidRPr="00AF391B">
        <w:rPr>
          <w:rFonts w:cstheme="minorHAnsi"/>
          <w:b/>
          <w:bCs/>
          <w:sz w:val="24"/>
          <w:szCs w:val="24"/>
          <w:lang w:val="en-GB"/>
        </w:rPr>
        <w:t>165 MW</w:t>
      </w:r>
      <w:r w:rsidRPr="00AF391B">
        <w:rPr>
          <w:rFonts w:cstheme="minorHAnsi"/>
          <w:sz w:val="24"/>
          <w:szCs w:val="24"/>
          <w:lang w:val="en-GB"/>
        </w:rPr>
        <w:t xml:space="preserve"> has been set for large-scale producers through auction.</w:t>
      </w:r>
      <w:r w:rsidRPr="00AF391B">
        <w:rPr>
          <w:rFonts w:cstheme="minorHAnsi"/>
          <w:sz w:val="24"/>
          <w:szCs w:val="24"/>
          <w:lang w:val="en-US"/>
        </w:rPr>
        <w:t xml:space="preserve"> </w:t>
      </w:r>
    </w:p>
    <w:p w14:paraId="48A636CC" w14:textId="7AAA7E13" w:rsidR="00037449" w:rsidRPr="00AF391B" w:rsidRDefault="00AF391B" w:rsidP="003D6288">
      <w:pPr>
        <w:jc w:val="both"/>
        <w:rPr>
          <w:rFonts w:cstheme="minorHAnsi"/>
          <w:b/>
          <w:bCs/>
          <w:i/>
          <w:iCs/>
          <w:sz w:val="24"/>
          <w:szCs w:val="24"/>
          <w:lang w:val="en-US"/>
        </w:rPr>
      </w:pPr>
      <w:r w:rsidRPr="00AF391B">
        <w:rPr>
          <w:rFonts w:cstheme="minorHAnsi"/>
          <w:b/>
          <w:bCs/>
          <w:i/>
          <w:iCs/>
          <w:sz w:val="24"/>
          <w:szCs w:val="24"/>
          <w:lang w:val="en-US"/>
        </w:rPr>
        <w:t>D</w:t>
      </w:r>
      <w:r w:rsidR="00037449" w:rsidRPr="00AF391B">
        <w:rPr>
          <w:rFonts w:cstheme="minorHAnsi"/>
          <w:b/>
          <w:bCs/>
          <w:i/>
          <w:iCs/>
          <w:sz w:val="24"/>
          <w:szCs w:val="24"/>
          <w:lang w:val="en-US"/>
        </w:rPr>
        <w:t>imension Energy Efficiency</w:t>
      </w:r>
    </w:p>
    <w:p w14:paraId="2B910288" w14:textId="77777777" w:rsidR="003D6288" w:rsidRPr="00AF391B" w:rsidRDefault="003D6288" w:rsidP="003D6288">
      <w:pPr>
        <w:jc w:val="both"/>
        <w:rPr>
          <w:rFonts w:cstheme="minorHAnsi"/>
          <w:sz w:val="24"/>
          <w:szCs w:val="24"/>
          <w:lang w:val="en-US"/>
        </w:rPr>
      </w:pPr>
      <w:r w:rsidRPr="00AF391B">
        <w:rPr>
          <w:rFonts w:cstheme="minorHAnsi"/>
          <w:sz w:val="24"/>
          <w:szCs w:val="24"/>
          <w:lang w:val="en-US"/>
        </w:rPr>
        <w:t xml:space="preserve">The </w:t>
      </w:r>
      <w:r w:rsidRPr="00AF391B">
        <w:rPr>
          <w:rFonts w:cstheme="minorHAnsi"/>
          <w:bCs/>
          <w:sz w:val="24"/>
          <w:szCs w:val="24"/>
          <w:lang w:val="en-US"/>
        </w:rPr>
        <w:t xml:space="preserve">Energy Efficiency </w:t>
      </w:r>
      <w:r w:rsidRPr="00AF391B">
        <w:rPr>
          <w:rFonts w:cstheme="minorHAnsi"/>
          <w:sz w:val="24"/>
          <w:szCs w:val="24"/>
          <w:lang w:val="en-US"/>
        </w:rPr>
        <w:t xml:space="preserve">dimension implementation in Moldova is based on the principle of “energy efficiency first”. The EU legislative package "Clean energy for all" is partially transposed into the new Law on energy efficiency of Moldova. </w:t>
      </w:r>
      <w:r w:rsidR="00F623B0" w:rsidRPr="00AF391B">
        <w:rPr>
          <w:rFonts w:cstheme="minorHAnsi"/>
          <w:sz w:val="24"/>
          <w:szCs w:val="24"/>
          <w:lang w:val="en-US"/>
        </w:rPr>
        <w:t>Energy efficiency is the 1</w:t>
      </w:r>
      <w:r w:rsidR="00F623B0" w:rsidRPr="00AF391B">
        <w:rPr>
          <w:rFonts w:cstheme="minorHAnsi"/>
          <w:sz w:val="24"/>
          <w:szCs w:val="24"/>
          <w:vertAlign w:val="superscript"/>
          <w:lang w:val="en-US"/>
        </w:rPr>
        <w:t>st</w:t>
      </w:r>
      <w:r w:rsidR="00F623B0" w:rsidRPr="00AF391B">
        <w:rPr>
          <w:rFonts w:cstheme="minorHAnsi"/>
          <w:sz w:val="24"/>
          <w:szCs w:val="24"/>
          <w:lang w:val="en-US"/>
        </w:rPr>
        <w:t xml:space="preserve"> </w:t>
      </w:r>
      <w:r w:rsidR="00F623B0" w:rsidRPr="00AF391B">
        <w:rPr>
          <w:rFonts w:cstheme="minorHAnsi"/>
          <w:sz w:val="24"/>
          <w:szCs w:val="24"/>
          <w:lang w:val="en-US"/>
        </w:rPr>
        <w:lastRenderedPageBreak/>
        <w:t>priority for increasing Moldova’s energy security and resilience. The approved amendments to the Law on Energy Efficiency create a favorable legal framework for the more ambitious obligation of projects in the field of energy efficiency, which contribute to the reduction of energy consumption and greenhouse gas emissions.</w:t>
      </w:r>
    </w:p>
    <w:p w14:paraId="751AEDC0" w14:textId="77777777" w:rsidR="00160B53" w:rsidRPr="00AF391B" w:rsidRDefault="004867DD" w:rsidP="00F623B0">
      <w:pPr>
        <w:jc w:val="both"/>
        <w:rPr>
          <w:rFonts w:cstheme="minorHAnsi"/>
          <w:sz w:val="24"/>
          <w:szCs w:val="24"/>
          <w:lang w:val="en-US"/>
        </w:rPr>
      </w:pPr>
      <w:r w:rsidRPr="00AF391B">
        <w:rPr>
          <w:rFonts w:cstheme="minorHAnsi"/>
          <w:sz w:val="24"/>
          <w:szCs w:val="24"/>
          <w:lang w:val="en-US"/>
        </w:rPr>
        <w:t xml:space="preserve">According to the Decision of the Ministerial Council of the Energy Community No. 2022/02/MC-EnC, Republic of Moldova’s </w:t>
      </w:r>
      <w:r w:rsidR="00F623B0" w:rsidRPr="00AF391B">
        <w:rPr>
          <w:rFonts w:cstheme="minorHAnsi"/>
          <w:sz w:val="24"/>
          <w:szCs w:val="24"/>
          <w:lang w:val="en-US"/>
        </w:rPr>
        <w:t xml:space="preserve">national </w:t>
      </w:r>
      <w:r w:rsidRPr="00AF391B">
        <w:rPr>
          <w:rFonts w:cstheme="minorHAnsi"/>
          <w:sz w:val="24"/>
          <w:szCs w:val="24"/>
          <w:lang w:val="en-US"/>
        </w:rPr>
        <w:t>energy efficiency contribution</w:t>
      </w:r>
      <w:r w:rsidR="00F623B0" w:rsidRPr="00AF391B">
        <w:rPr>
          <w:rFonts w:cstheme="minorHAnsi"/>
          <w:sz w:val="24"/>
          <w:szCs w:val="24"/>
          <w:lang w:val="en-US"/>
        </w:rPr>
        <w:t>s</w:t>
      </w:r>
      <w:r w:rsidRPr="00AF391B">
        <w:rPr>
          <w:rFonts w:cstheme="minorHAnsi"/>
          <w:sz w:val="24"/>
          <w:szCs w:val="24"/>
          <w:lang w:val="en-US"/>
        </w:rPr>
        <w:t xml:space="preserve"> </w:t>
      </w:r>
      <w:r w:rsidR="00F623B0" w:rsidRPr="00AF391B">
        <w:rPr>
          <w:rFonts w:cstheme="minorHAnsi"/>
          <w:sz w:val="24"/>
          <w:szCs w:val="24"/>
          <w:lang w:val="en-US"/>
        </w:rPr>
        <w:t xml:space="preserve">towards the EnC 2030 targets </w:t>
      </w:r>
      <w:r w:rsidRPr="00AF391B">
        <w:rPr>
          <w:rFonts w:cstheme="minorHAnsi"/>
          <w:sz w:val="24"/>
          <w:szCs w:val="24"/>
          <w:lang w:val="en-US"/>
        </w:rPr>
        <w:t>limit the final energy consumption to no more than 2</w:t>
      </w:r>
      <w:r w:rsidR="00F623B0" w:rsidRPr="00AF391B">
        <w:rPr>
          <w:rFonts w:cstheme="minorHAnsi"/>
          <w:sz w:val="24"/>
          <w:szCs w:val="24"/>
          <w:lang w:val="en-US"/>
        </w:rPr>
        <w:t>.</w:t>
      </w:r>
      <w:r w:rsidRPr="00AF391B">
        <w:rPr>
          <w:rFonts w:cstheme="minorHAnsi"/>
          <w:sz w:val="24"/>
          <w:szCs w:val="24"/>
          <w:lang w:val="en-US"/>
        </w:rPr>
        <w:t xml:space="preserve">80 </w:t>
      </w:r>
      <w:r w:rsidR="00F623B0" w:rsidRPr="00AF391B">
        <w:rPr>
          <w:rFonts w:cstheme="minorHAnsi"/>
          <w:sz w:val="24"/>
          <w:szCs w:val="24"/>
          <w:lang w:val="en-US"/>
        </w:rPr>
        <w:t>M</w:t>
      </w:r>
      <w:r w:rsidRPr="00AF391B">
        <w:rPr>
          <w:rFonts w:cstheme="minorHAnsi"/>
          <w:sz w:val="24"/>
          <w:szCs w:val="24"/>
          <w:lang w:val="en-US"/>
        </w:rPr>
        <w:t>toe in 2030</w:t>
      </w:r>
      <w:r w:rsidR="00F623B0" w:rsidRPr="00AF391B">
        <w:rPr>
          <w:rFonts w:cstheme="minorHAnsi"/>
          <w:sz w:val="24"/>
          <w:szCs w:val="24"/>
          <w:lang w:val="en-US"/>
        </w:rPr>
        <w:t xml:space="preserve"> and the primary energy consumption to no more than 3.00 Mtoe in 2030.</w:t>
      </w:r>
    </w:p>
    <w:p w14:paraId="251FD07E" w14:textId="77777777" w:rsidR="003D6288" w:rsidRPr="00AF391B" w:rsidRDefault="003D6288" w:rsidP="003D6288">
      <w:pPr>
        <w:jc w:val="both"/>
        <w:rPr>
          <w:rFonts w:cstheme="minorHAnsi"/>
          <w:sz w:val="24"/>
          <w:szCs w:val="24"/>
          <w:lang w:val="en-US"/>
        </w:rPr>
      </w:pPr>
      <w:r w:rsidRPr="00AF391B">
        <w:rPr>
          <w:rFonts w:cstheme="minorHAnsi"/>
          <w:sz w:val="24"/>
          <w:szCs w:val="24"/>
          <w:lang w:val="en-US"/>
        </w:rPr>
        <w:t xml:space="preserve">The Republic of Moldova commits to implement energy efficiency at 3% per year in the buildings of central public administration authorities </w:t>
      </w:r>
      <w:r w:rsidR="00F623B0" w:rsidRPr="00AF391B">
        <w:rPr>
          <w:rFonts w:cstheme="minorHAnsi"/>
          <w:sz w:val="24"/>
          <w:szCs w:val="24"/>
          <w:lang w:val="en-US"/>
        </w:rPr>
        <w:t xml:space="preserve">having a total useful area of over 250 m², </w:t>
      </w:r>
      <w:r w:rsidRPr="00AF391B">
        <w:rPr>
          <w:rFonts w:cstheme="minorHAnsi"/>
          <w:sz w:val="24"/>
          <w:szCs w:val="24"/>
          <w:lang w:val="en-US"/>
        </w:rPr>
        <w:t>and to save annually at least 0</w:t>
      </w:r>
      <w:r w:rsidR="00F623B0" w:rsidRPr="00AF391B">
        <w:rPr>
          <w:rFonts w:cstheme="minorHAnsi"/>
          <w:sz w:val="24"/>
          <w:szCs w:val="24"/>
          <w:lang w:val="en-US"/>
        </w:rPr>
        <w:t>.</w:t>
      </w:r>
      <w:r w:rsidRPr="00AF391B">
        <w:rPr>
          <w:rFonts w:cstheme="minorHAnsi"/>
          <w:sz w:val="24"/>
          <w:szCs w:val="24"/>
          <w:lang w:val="en-US"/>
        </w:rPr>
        <w:t>8% of the average value of the energy consumption recorded between January 1</w:t>
      </w:r>
      <w:r w:rsidRPr="00AF391B">
        <w:rPr>
          <w:rFonts w:cstheme="minorHAnsi"/>
          <w:sz w:val="24"/>
          <w:szCs w:val="24"/>
          <w:vertAlign w:val="superscript"/>
          <w:lang w:val="en-US"/>
        </w:rPr>
        <w:t>st</w:t>
      </w:r>
      <w:r w:rsidRPr="00AF391B">
        <w:rPr>
          <w:rFonts w:cstheme="minorHAnsi"/>
          <w:sz w:val="24"/>
          <w:szCs w:val="24"/>
          <w:lang w:val="en-US"/>
        </w:rPr>
        <w:t>, 2019 and January, 1</w:t>
      </w:r>
      <w:r w:rsidRPr="00AF391B">
        <w:rPr>
          <w:rFonts w:cstheme="minorHAnsi"/>
          <w:sz w:val="24"/>
          <w:szCs w:val="24"/>
          <w:vertAlign w:val="superscript"/>
          <w:lang w:val="en-US"/>
        </w:rPr>
        <w:t>st</w:t>
      </w:r>
      <w:r w:rsidRPr="00AF391B">
        <w:rPr>
          <w:rFonts w:cstheme="minorHAnsi"/>
          <w:sz w:val="24"/>
          <w:szCs w:val="24"/>
          <w:lang w:val="en-US"/>
        </w:rPr>
        <w:t>, 2022 starting from 2024.</w:t>
      </w:r>
    </w:p>
    <w:p w14:paraId="01E3C22B" w14:textId="77777777" w:rsidR="00042AE0" w:rsidRPr="00AF391B" w:rsidRDefault="00042AE0" w:rsidP="00042AE0">
      <w:pPr>
        <w:spacing w:before="60" w:after="60" w:line="240" w:lineRule="auto"/>
        <w:jc w:val="both"/>
        <w:rPr>
          <w:rFonts w:cstheme="minorHAnsi"/>
          <w:sz w:val="24"/>
          <w:szCs w:val="24"/>
          <w:lang w:val="en-US"/>
        </w:rPr>
      </w:pPr>
      <w:r w:rsidRPr="00AF391B">
        <w:rPr>
          <w:rFonts w:cstheme="minorHAnsi"/>
          <w:sz w:val="24"/>
          <w:szCs w:val="24"/>
          <w:lang w:val="en-US"/>
        </w:rPr>
        <w:t>The target indicator of energy saving in the industrial sector in 2030 is Energy Intensity of Industry, and it is set to 0.075 ktoe/Mln EUR (51% reduction compared to 2020).</w:t>
      </w:r>
    </w:p>
    <w:p w14:paraId="0966F500" w14:textId="24FABC79" w:rsidR="00042AE0" w:rsidRPr="00E966AE" w:rsidRDefault="00042AE0" w:rsidP="00774E29">
      <w:pPr>
        <w:spacing w:before="60" w:after="60" w:line="240" w:lineRule="auto"/>
        <w:jc w:val="both"/>
        <w:rPr>
          <w:rFonts w:cstheme="minorHAnsi"/>
          <w:sz w:val="24"/>
          <w:szCs w:val="24"/>
        </w:rPr>
      </w:pPr>
      <w:r w:rsidRPr="00AF391B">
        <w:rPr>
          <w:rFonts w:cstheme="minorHAnsi"/>
          <w:sz w:val="24"/>
          <w:szCs w:val="24"/>
          <w:lang w:val="en-US"/>
        </w:rPr>
        <w:t xml:space="preserve">As for the energy sector, there is a significant potential to reduce energy losses during its transportation. Target indicators of energy savings in the transport of energy carriers in 2030 are: </w:t>
      </w:r>
    </w:p>
    <w:p w14:paraId="78DD9825" w14:textId="77777777" w:rsidR="00AF391B" w:rsidRDefault="00AF391B" w:rsidP="003D6288">
      <w:pPr>
        <w:jc w:val="both"/>
        <w:rPr>
          <w:rFonts w:cstheme="minorHAnsi"/>
          <w:b/>
          <w:bCs/>
          <w:i/>
          <w:iCs/>
          <w:sz w:val="24"/>
          <w:szCs w:val="24"/>
          <w:lang w:val="en-US"/>
        </w:rPr>
      </w:pPr>
    </w:p>
    <w:p w14:paraId="03ABDF7A" w14:textId="79B39164" w:rsidR="00037449" w:rsidRPr="00AF391B" w:rsidRDefault="00037449" w:rsidP="003D6288">
      <w:pPr>
        <w:jc w:val="both"/>
        <w:rPr>
          <w:rFonts w:cstheme="minorHAnsi"/>
          <w:b/>
          <w:bCs/>
          <w:i/>
          <w:iCs/>
          <w:sz w:val="24"/>
          <w:szCs w:val="24"/>
          <w:lang w:val="en-US"/>
        </w:rPr>
      </w:pPr>
      <w:r w:rsidRPr="00AF391B">
        <w:rPr>
          <w:rFonts w:cstheme="minorHAnsi"/>
          <w:b/>
          <w:bCs/>
          <w:i/>
          <w:iCs/>
          <w:sz w:val="24"/>
          <w:szCs w:val="24"/>
          <w:lang w:val="en-US"/>
        </w:rPr>
        <w:t>Dimension Energy Security</w:t>
      </w:r>
    </w:p>
    <w:p w14:paraId="73A8F0DB" w14:textId="2197A2DE" w:rsidR="003D6288" w:rsidRPr="00AF391B" w:rsidRDefault="003D6288" w:rsidP="003D6288">
      <w:pPr>
        <w:jc w:val="both"/>
        <w:rPr>
          <w:rFonts w:cstheme="minorHAnsi"/>
          <w:sz w:val="24"/>
          <w:szCs w:val="24"/>
          <w:lang w:val="en-US"/>
        </w:rPr>
      </w:pPr>
      <w:r w:rsidRPr="00AF391B">
        <w:rPr>
          <w:rFonts w:cstheme="minorHAnsi"/>
          <w:sz w:val="24"/>
          <w:szCs w:val="24"/>
          <w:lang w:val="en-US"/>
        </w:rPr>
        <w:t xml:space="preserve">The </w:t>
      </w:r>
      <w:r w:rsidRPr="00AF391B">
        <w:rPr>
          <w:rFonts w:cstheme="minorHAnsi"/>
          <w:bCs/>
          <w:sz w:val="24"/>
          <w:szCs w:val="24"/>
          <w:lang w:val="en-US"/>
        </w:rPr>
        <w:t>Energy Security</w:t>
      </w:r>
      <w:r w:rsidRPr="00AF391B">
        <w:rPr>
          <w:rFonts w:cstheme="minorHAnsi"/>
          <w:sz w:val="24"/>
          <w:szCs w:val="24"/>
          <w:lang w:val="en-US"/>
        </w:rPr>
        <w:t xml:space="preserve"> dimension is based on the high dependency of Moldova on gas and oil products imports. Moldova imports 100% of gas and oil products, while 80% of electricity is </w:t>
      </w:r>
      <w:r w:rsidR="00B52EAB">
        <w:rPr>
          <w:rFonts w:cstheme="minorHAnsi"/>
          <w:sz w:val="24"/>
          <w:szCs w:val="24"/>
          <w:lang w:val="en-US"/>
        </w:rPr>
        <w:t xml:space="preserve">generated in </w:t>
      </w:r>
      <w:r w:rsidRPr="00AF391B">
        <w:rPr>
          <w:rFonts w:cstheme="minorHAnsi"/>
          <w:sz w:val="24"/>
          <w:szCs w:val="24"/>
          <w:lang w:val="en-US"/>
        </w:rPr>
        <w:t xml:space="preserve">the ATULBD. </w:t>
      </w:r>
    </w:p>
    <w:p w14:paraId="332D01D6" w14:textId="77777777" w:rsidR="00100481" w:rsidRPr="00AF391B" w:rsidRDefault="003D6288" w:rsidP="003D6288">
      <w:pPr>
        <w:jc w:val="both"/>
        <w:rPr>
          <w:rFonts w:cstheme="minorHAnsi"/>
          <w:sz w:val="24"/>
          <w:szCs w:val="24"/>
          <w:lang w:val="en-US"/>
        </w:rPr>
      </w:pPr>
      <w:r w:rsidRPr="00AF391B">
        <w:rPr>
          <w:rFonts w:cstheme="minorHAnsi"/>
          <w:sz w:val="24"/>
          <w:szCs w:val="24"/>
          <w:lang w:val="en-US"/>
        </w:rPr>
        <w:t xml:space="preserve">The goal of energy security is to reduce the dependence on energy imports and to diversify energy resources and import routes. This includes encouraging use of domestic biomass resources to a level appropriate within the context of decarbonization objectives, securing potential gas storage, continuing to expand the use of renewable energy to meet domestic needs (wind and solar), and encouraging energy efficiency in transformation, transmission, and distribution of energy. </w:t>
      </w:r>
    </w:p>
    <w:p w14:paraId="60AC4761" w14:textId="77777777" w:rsidR="003D6288" w:rsidRPr="00AF391B" w:rsidRDefault="003D6288" w:rsidP="003D6288">
      <w:pPr>
        <w:jc w:val="both"/>
        <w:rPr>
          <w:rFonts w:cstheme="minorHAnsi"/>
          <w:sz w:val="24"/>
          <w:szCs w:val="24"/>
          <w:lang w:val="en-US"/>
        </w:rPr>
      </w:pPr>
      <w:r w:rsidRPr="00AF391B">
        <w:rPr>
          <w:rFonts w:cstheme="minorHAnsi"/>
          <w:sz w:val="24"/>
          <w:szCs w:val="24"/>
          <w:lang w:val="en-US"/>
        </w:rPr>
        <w:t>Moldova also plans to significantly increase interconnectivity of its power system by constructing new AC lines to Romania and ENTSO-E, which will increase security of electricity supply and create new market opportunities in Moldova and in the region. The dimension of energy security has been elaborated within the framework of the Ten-Year Network Development Plan of TSO Moldova, Ten-Year Development Plan of Moldovagaz and Vestmoldtransgas, and draft Energy Strategy 2050</w:t>
      </w:r>
      <w:r w:rsidRPr="00AF391B">
        <w:rPr>
          <w:rStyle w:val="FootnoteReference"/>
          <w:rFonts w:asciiTheme="minorHAnsi" w:hAnsiTheme="minorHAnsi" w:cstheme="minorHAnsi"/>
          <w:sz w:val="24"/>
          <w:szCs w:val="24"/>
        </w:rPr>
        <w:footnoteReference w:id="9"/>
      </w:r>
      <w:r w:rsidRPr="00AF391B">
        <w:rPr>
          <w:rFonts w:cstheme="minorHAnsi"/>
          <w:sz w:val="24"/>
          <w:szCs w:val="24"/>
          <w:lang w:val="en-US"/>
        </w:rPr>
        <w:t>.</w:t>
      </w:r>
    </w:p>
    <w:p w14:paraId="4C3B4FDF" w14:textId="77777777" w:rsidR="006161FF" w:rsidRPr="00AF391B" w:rsidRDefault="006161FF" w:rsidP="006161FF">
      <w:pPr>
        <w:jc w:val="both"/>
        <w:rPr>
          <w:rFonts w:cstheme="minorHAnsi"/>
          <w:sz w:val="24"/>
          <w:szCs w:val="24"/>
          <w:lang w:val="en-GB"/>
        </w:rPr>
      </w:pPr>
      <w:r w:rsidRPr="00AF391B">
        <w:rPr>
          <w:rFonts w:cstheme="minorHAnsi"/>
          <w:sz w:val="24"/>
          <w:szCs w:val="24"/>
          <w:lang w:val="en-GB"/>
        </w:rPr>
        <w:t>T</w:t>
      </w:r>
      <w:r w:rsidRPr="00AF391B">
        <w:rPr>
          <w:rFonts w:cstheme="minorHAnsi"/>
          <w:sz w:val="24"/>
          <w:szCs w:val="24"/>
          <w:lang w:val="en-US"/>
        </w:rPr>
        <w:t xml:space="preserve">he Government of the Republic of Moldova implements a natural gas market mechanism by using the virtual reverse (backhaul) at the point of merging with Ukraine. This will allow, including Ukrainian service customers, to transport gas of non-Russian origin to the Trans-Balkan pipeline and make it economically viable. The decisions are extremely important for </w:t>
      </w:r>
      <w:r w:rsidRPr="00AF391B">
        <w:rPr>
          <w:rFonts w:cstheme="minorHAnsi"/>
          <w:sz w:val="24"/>
          <w:szCs w:val="24"/>
          <w:lang w:val="en-US"/>
        </w:rPr>
        <w:lastRenderedPageBreak/>
        <w:t>regional energy security and diversification of possible routes for gas imports both on the domestic market and European gas markets.</w:t>
      </w:r>
      <w:r w:rsidRPr="00AF391B">
        <w:rPr>
          <w:rFonts w:eastAsia="Times New Roman" w:cstheme="minorHAnsi"/>
          <w:color w:val="050505"/>
          <w:sz w:val="24"/>
          <w:szCs w:val="24"/>
          <w:lang w:val="en-US"/>
        </w:rPr>
        <w:t xml:space="preserve"> </w:t>
      </w:r>
      <w:r w:rsidRPr="00AF391B">
        <w:rPr>
          <w:rFonts w:cstheme="minorHAnsi"/>
          <w:sz w:val="24"/>
          <w:szCs w:val="24"/>
          <w:lang w:val="en-US"/>
        </w:rPr>
        <w:t>Finally, and for Ukrainian service customers, there is an opportunity to transport the Trans-Balkan Corridor gas of non-Russian origin - from LNG terminals in Greece and Turkey or gas produced in Azerbaijan. Previously this mechanism was used mostly by customers from Moldova itself.</w:t>
      </w:r>
    </w:p>
    <w:p w14:paraId="1A73EC9D" w14:textId="77777777" w:rsidR="00100481" w:rsidRPr="00AF391B" w:rsidRDefault="00100481" w:rsidP="003D6288">
      <w:pPr>
        <w:jc w:val="both"/>
        <w:rPr>
          <w:rFonts w:cstheme="minorHAnsi"/>
          <w:sz w:val="24"/>
          <w:szCs w:val="24"/>
          <w:lang w:val="en-US"/>
        </w:rPr>
      </w:pPr>
    </w:p>
    <w:p w14:paraId="6C490B43" w14:textId="77777777" w:rsidR="00100481" w:rsidRPr="00AF391B" w:rsidRDefault="00100481" w:rsidP="003D6288">
      <w:pPr>
        <w:jc w:val="both"/>
        <w:rPr>
          <w:rFonts w:cstheme="minorHAnsi"/>
          <w:sz w:val="24"/>
          <w:szCs w:val="24"/>
          <w:lang w:val="en-US"/>
        </w:rPr>
      </w:pPr>
      <w:r w:rsidRPr="00AF391B">
        <w:rPr>
          <w:rFonts w:cstheme="minorHAnsi"/>
          <w:sz w:val="24"/>
          <w:szCs w:val="24"/>
          <w:lang w:val="en-US"/>
        </w:rPr>
        <w:t>Dimension Internal Energy Market</w:t>
      </w:r>
    </w:p>
    <w:p w14:paraId="49420D70" w14:textId="77777777" w:rsidR="00D45979" w:rsidRPr="00AF391B" w:rsidRDefault="00D45979" w:rsidP="003D6288">
      <w:pPr>
        <w:jc w:val="both"/>
        <w:rPr>
          <w:rFonts w:cstheme="minorHAnsi"/>
          <w:b/>
          <w:bCs/>
          <w:i/>
          <w:sz w:val="24"/>
          <w:szCs w:val="24"/>
          <w:lang w:val="en-GB"/>
        </w:rPr>
      </w:pPr>
      <w:r w:rsidRPr="00AF391B">
        <w:rPr>
          <w:rFonts w:cstheme="minorHAnsi"/>
          <w:b/>
          <w:bCs/>
          <w:i/>
          <w:sz w:val="24"/>
          <w:szCs w:val="24"/>
          <w:lang w:val="en-GB"/>
        </w:rPr>
        <w:t>Energy Market Electricity interconnectivity</w:t>
      </w:r>
    </w:p>
    <w:p w14:paraId="060A6486" w14:textId="77777777" w:rsidR="00D45979" w:rsidRPr="00AF391B" w:rsidRDefault="00D45979" w:rsidP="00D45979">
      <w:pPr>
        <w:spacing w:before="120" w:after="0" w:line="276" w:lineRule="auto"/>
        <w:jc w:val="both"/>
        <w:rPr>
          <w:rFonts w:cstheme="minorHAnsi"/>
          <w:sz w:val="24"/>
          <w:szCs w:val="24"/>
          <w:lang w:val="en-US"/>
        </w:rPr>
      </w:pPr>
      <w:r w:rsidRPr="00AF391B">
        <w:rPr>
          <w:rFonts w:cstheme="minorHAnsi"/>
          <w:sz w:val="24"/>
          <w:szCs w:val="24"/>
          <w:lang w:val="en-US"/>
        </w:rPr>
        <w:t>The target level of electrical interconnectivity of EU Member States by 2030 is at least 15 %.</w:t>
      </w:r>
      <w:bookmarkStart w:id="1" w:name="_Hlk126838749"/>
      <w:r w:rsidRPr="00AF391B">
        <w:rPr>
          <w:rFonts w:cstheme="minorHAnsi"/>
          <w:sz w:val="24"/>
          <w:szCs w:val="24"/>
          <w:lang w:val="en-US"/>
        </w:rPr>
        <w:t xml:space="preserve"> Moldova, as an associated country with the EU, set as its goal the integration of the Moldovan power system with the European power system. On 03/16/2022</w:t>
      </w:r>
      <w:r w:rsidRPr="00AF391B">
        <w:rPr>
          <w:rFonts w:cstheme="minorHAnsi"/>
          <w:sz w:val="24"/>
          <w:szCs w:val="24"/>
          <w:vertAlign w:val="superscript"/>
        </w:rPr>
        <w:footnoteReference w:id="10"/>
      </w:r>
      <w:r w:rsidRPr="00AF391B">
        <w:rPr>
          <w:rFonts w:cstheme="minorHAnsi"/>
          <w:sz w:val="24"/>
          <w:szCs w:val="24"/>
          <w:lang w:val="en-US"/>
        </w:rPr>
        <w:t xml:space="preserve"> the synchronization of power systems of Moldova and Ukraine with</w:t>
      </w:r>
      <w:bookmarkStart w:id="2" w:name="_Hlk132255760"/>
      <w:r w:rsidRPr="00AF391B">
        <w:rPr>
          <w:rFonts w:cstheme="minorHAnsi"/>
          <w:sz w:val="24"/>
          <w:szCs w:val="24"/>
          <w:lang w:val="en-US"/>
        </w:rPr>
        <w:t xml:space="preserve"> power system ENSTO-E Continental Europe was performed. </w:t>
      </w:r>
      <w:bookmarkEnd w:id="1"/>
      <w:bookmarkEnd w:id="2"/>
      <w:r w:rsidRPr="00AF391B">
        <w:rPr>
          <w:rFonts w:cstheme="minorHAnsi"/>
          <w:sz w:val="24"/>
          <w:szCs w:val="24"/>
          <w:lang w:val="en-GB"/>
        </w:rPr>
        <w:t>The current Energy Strategy of Moldova</w:t>
      </w:r>
      <w:r w:rsidRPr="00AF391B">
        <w:rPr>
          <w:rFonts w:cstheme="minorHAnsi"/>
          <w:sz w:val="24"/>
          <w:szCs w:val="24"/>
          <w:vertAlign w:val="superscript"/>
          <w:lang w:val="en-GB"/>
        </w:rPr>
        <w:footnoteReference w:id="11"/>
      </w:r>
      <w:r w:rsidRPr="00AF391B">
        <w:rPr>
          <w:rFonts w:cstheme="minorHAnsi"/>
          <w:sz w:val="24"/>
          <w:szCs w:val="24"/>
          <w:lang w:val="en-GB"/>
        </w:rPr>
        <w:t xml:space="preserve"> states the strategic objective of integration into the European Union and its internal energy market, by fulfilling obligations under the Energy Community Treaty.</w:t>
      </w:r>
    </w:p>
    <w:p w14:paraId="16B2F9F8" w14:textId="77777777" w:rsidR="00AF391B" w:rsidRDefault="00AF391B" w:rsidP="003D6288">
      <w:pPr>
        <w:jc w:val="both"/>
        <w:rPr>
          <w:rFonts w:cstheme="minorHAnsi"/>
          <w:b/>
          <w:bCs/>
          <w:i/>
          <w:sz w:val="24"/>
          <w:szCs w:val="24"/>
          <w:lang w:val="en-US"/>
        </w:rPr>
      </w:pPr>
    </w:p>
    <w:p w14:paraId="5743B7C0" w14:textId="6822B628" w:rsidR="00D45979" w:rsidRPr="00AF391B" w:rsidRDefault="00D45979" w:rsidP="003D6288">
      <w:pPr>
        <w:jc w:val="both"/>
        <w:rPr>
          <w:rFonts w:cstheme="minorHAnsi"/>
          <w:b/>
          <w:bCs/>
          <w:i/>
          <w:sz w:val="24"/>
          <w:szCs w:val="24"/>
          <w:lang w:val="en-US"/>
        </w:rPr>
      </w:pPr>
      <w:r w:rsidRPr="00AF391B">
        <w:rPr>
          <w:rFonts w:cstheme="minorHAnsi"/>
          <w:b/>
          <w:bCs/>
          <w:i/>
          <w:sz w:val="24"/>
          <w:szCs w:val="24"/>
          <w:lang w:val="en-US"/>
        </w:rPr>
        <w:t>Energy Transmission Infrastructure</w:t>
      </w:r>
    </w:p>
    <w:p w14:paraId="5BED1591" w14:textId="77777777" w:rsidR="00D45979" w:rsidRPr="00AF391B" w:rsidRDefault="00D45979" w:rsidP="00D4217A">
      <w:pPr>
        <w:shd w:val="clear" w:color="auto" w:fill="FFFFFF"/>
        <w:spacing w:after="120" w:line="276" w:lineRule="auto"/>
        <w:jc w:val="both"/>
        <w:rPr>
          <w:rFonts w:cstheme="minorHAnsi"/>
          <w:sz w:val="24"/>
          <w:szCs w:val="24"/>
          <w:lang w:val="en-US"/>
        </w:rPr>
      </w:pPr>
      <w:r w:rsidRPr="00AF391B">
        <w:rPr>
          <w:rFonts w:cstheme="minorHAnsi"/>
          <w:sz w:val="24"/>
          <w:szCs w:val="24"/>
          <w:lang w:val="en-US"/>
        </w:rPr>
        <w:t xml:space="preserve">Projects for the construction of two new power lines 400 kV </w:t>
      </w:r>
      <w:r w:rsidRPr="00AF391B">
        <w:rPr>
          <w:rFonts w:cstheme="minorHAnsi"/>
          <w:bCs/>
          <w:sz w:val="24"/>
          <w:szCs w:val="24"/>
          <w:lang w:val="en-US"/>
        </w:rPr>
        <w:t>Isaccea -</w:t>
      </w:r>
      <w:r w:rsidRPr="00AF391B">
        <w:rPr>
          <w:rFonts w:cstheme="minorHAnsi"/>
          <w:sz w:val="24"/>
          <w:szCs w:val="24"/>
          <w:lang w:val="en-US"/>
        </w:rPr>
        <w:t xml:space="preserve">Vulcanesti-Chisinau and Balti-Suceava are a priority for Moldova in accordance with the Energy Strategy until 2030 and the Electricity transmission network development plan for 2018 – 2027. Other infrastructure projects aim at developing the internal network, but are important for the implementation of projects of mutual interest: </w:t>
      </w:r>
      <w:r w:rsidRPr="00AF391B">
        <w:rPr>
          <w:rFonts w:eastAsia="Times New Roman" w:cstheme="minorHAnsi"/>
          <w:sz w:val="24"/>
          <w:szCs w:val="24"/>
          <w:lang w:val="en-US" w:eastAsia="ru-RU"/>
        </w:rPr>
        <w:t>SE “Moldelectrica” pays great attention on the modernization and reconstruction, renovation and expansion of the transmission network infrastructure.</w:t>
      </w:r>
    </w:p>
    <w:p w14:paraId="1CE16754" w14:textId="5CBDB1E4" w:rsidR="00D45979" w:rsidRPr="00E966AE" w:rsidRDefault="00D45979" w:rsidP="00774E29">
      <w:pPr>
        <w:spacing w:after="120" w:line="276" w:lineRule="auto"/>
        <w:jc w:val="both"/>
        <w:rPr>
          <w:rFonts w:cstheme="minorHAnsi"/>
          <w:i/>
          <w:sz w:val="24"/>
          <w:szCs w:val="24"/>
        </w:rPr>
      </w:pPr>
      <w:r w:rsidRPr="00AF391B">
        <w:rPr>
          <w:rFonts w:cstheme="minorHAnsi"/>
          <w:sz w:val="24"/>
          <w:szCs w:val="24"/>
          <w:lang w:val="en-US"/>
        </w:rPr>
        <w:t>In the beginning of 2023</w:t>
      </w:r>
      <w:r w:rsidR="00D4217A" w:rsidRPr="00AF391B">
        <w:rPr>
          <w:rFonts w:cstheme="minorHAnsi"/>
          <w:sz w:val="24"/>
          <w:szCs w:val="24"/>
          <w:lang w:val="en-US"/>
        </w:rPr>
        <w:t xml:space="preserve">, </w:t>
      </w:r>
      <w:r w:rsidRPr="00AF391B">
        <w:rPr>
          <w:rFonts w:cstheme="minorHAnsi"/>
          <w:sz w:val="24"/>
          <w:szCs w:val="24"/>
          <w:lang w:val="en-US"/>
        </w:rPr>
        <w:t xml:space="preserve">several local projects </w:t>
      </w:r>
      <w:r w:rsidR="00D4217A" w:rsidRPr="00AF391B">
        <w:rPr>
          <w:rFonts w:cstheme="minorHAnsi"/>
          <w:sz w:val="24"/>
          <w:szCs w:val="24"/>
          <w:lang w:val="en-US"/>
        </w:rPr>
        <w:t xml:space="preserve">in the natural gas sector </w:t>
      </w:r>
      <w:r w:rsidRPr="00AF391B">
        <w:rPr>
          <w:rFonts w:cstheme="minorHAnsi"/>
          <w:sz w:val="24"/>
          <w:szCs w:val="24"/>
          <w:lang w:val="en-US"/>
        </w:rPr>
        <w:t>that aimed to strengthen the internal natural gas market of Republic of Moldova</w:t>
      </w:r>
      <w:r w:rsidR="00D4217A" w:rsidRPr="00AF391B">
        <w:rPr>
          <w:rFonts w:cstheme="minorHAnsi"/>
          <w:sz w:val="24"/>
          <w:szCs w:val="24"/>
          <w:lang w:val="en-US"/>
        </w:rPr>
        <w:t xml:space="preserve">. </w:t>
      </w:r>
    </w:p>
    <w:p w14:paraId="0E45D3F1" w14:textId="031A7756" w:rsidR="00D45979" w:rsidRPr="00AF391B" w:rsidRDefault="00D45979" w:rsidP="00D4217A">
      <w:pPr>
        <w:spacing w:after="120" w:line="276" w:lineRule="auto"/>
        <w:jc w:val="both"/>
        <w:rPr>
          <w:rStyle w:val="Heading2Char"/>
          <w:rFonts w:asciiTheme="minorHAnsi" w:eastAsiaTheme="minorHAnsi" w:hAnsiTheme="minorHAnsi" w:cstheme="minorHAnsi"/>
          <w:color w:val="auto"/>
          <w:sz w:val="24"/>
          <w:szCs w:val="24"/>
        </w:rPr>
      </w:pPr>
      <w:r w:rsidRPr="00AF391B">
        <w:rPr>
          <w:rFonts w:cstheme="minorHAnsi"/>
          <w:sz w:val="24"/>
          <w:szCs w:val="24"/>
          <w:lang w:val="en-US"/>
        </w:rPr>
        <w:t xml:space="preserve">The Development Plans </w:t>
      </w:r>
      <w:r w:rsidR="00B52EAB">
        <w:rPr>
          <w:rFonts w:cstheme="minorHAnsi"/>
          <w:sz w:val="24"/>
          <w:szCs w:val="24"/>
          <w:lang w:val="en-US"/>
        </w:rPr>
        <w:t xml:space="preserve">of </w:t>
      </w:r>
      <w:r w:rsidR="00B52EAB" w:rsidRPr="00AF391B">
        <w:rPr>
          <w:rFonts w:cstheme="minorHAnsi"/>
          <w:sz w:val="24"/>
          <w:szCs w:val="24"/>
          <w:lang w:val="en-US"/>
        </w:rPr>
        <w:t xml:space="preserve">“Moldovatransgaz” LLC and “Vestmoldtransgaz” LLC </w:t>
      </w:r>
      <w:r w:rsidRPr="00AF391B">
        <w:rPr>
          <w:rFonts w:cstheme="minorHAnsi"/>
          <w:sz w:val="24"/>
          <w:szCs w:val="24"/>
          <w:lang w:val="en-US"/>
        </w:rPr>
        <w:t xml:space="preserve">include the schedule of planned works for the implementation of local projects and the necessary investments. </w:t>
      </w:r>
    </w:p>
    <w:p w14:paraId="6A552B9C" w14:textId="77777777" w:rsidR="00D4217A" w:rsidRPr="00AF391B" w:rsidRDefault="00D4217A" w:rsidP="00D4217A">
      <w:pPr>
        <w:spacing w:after="120"/>
        <w:jc w:val="both"/>
        <w:rPr>
          <w:rFonts w:cstheme="minorHAnsi"/>
          <w:b/>
          <w:bCs/>
          <w:i/>
          <w:sz w:val="24"/>
          <w:szCs w:val="24"/>
          <w:lang w:val="en-GB"/>
        </w:rPr>
      </w:pPr>
      <w:r w:rsidRPr="00AF391B">
        <w:rPr>
          <w:rFonts w:cstheme="minorHAnsi"/>
          <w:b/>
          <w:bCs/>
          <w:i/>
          <w:sz w:val="24"/>
          <w:szCs w:val="24"/>
          <w:lang w:val="en-GB"/>
        </w:rPr>
        <w:t>Market Integration</w:t>
      </w:r>
    </w:p>
    <w:p w14:paraId="6076E067" w14:textId="77777777" w:rsidR="00D4217A" w:rsidRPr="00AF391B" w:rsidRDefault="00D4217A" w:rsidP="00D4217A">
      <w:pPr>
        <w:spacing w:after="120"/>
        <w:jc w:val="both"/>
        <w:rPr>
          <w:rFonts w:cstheme="minorHAnsi"/>
          <w:sz w:val="24"/>
          <w:szCs w:val="24"/>
          <w:lang w:val="en-GB"/>
        </w:rPr>
      </w:pPr>
      <w:r w:rsidRPr="00AF391B">
        <w:rPr>
          <w:rFonts w:cstheme="minorHAnsi"/>
          <w:sz w:val="24"/>
          <w:szCs w:val="24"/>
          <w:lang w:val="en-GB"/>
        </w:rPr>
        <w:t xml:space="preserve">For the Electricity sector, the </w:t>
      </w:r>
      <w:r w:rsidRPr="00C5380F">
        <w:rPr>
          <w:rFonts w:cstheme="minorHAnsi"/>
          <w:sz w:val="24"/>
          <w:szCs w:val="24"/>
          <w:highlight w:val="yellow"/>
          <w:lang w:val="en-GB"/>
        </w:rPr>
        <w:t>Concept of the Energy Strategy of the Republic of Moldova</w:t>
      </w:r>
      <w:r w:rsidRPr="00AF391B">
        <w:rPr>
          <w:rFonts w:cstheme="minorHAnsi"/>
          <w:sz w:val="24"/>
          <w:szCs w:val="24"/>
          <w:lang w:val="en-GB"/>
        </w:rPr>
        <w:t xml:space="preserve"> for 2050 includes a series of targets for the period up to 2030, that refer specifically to competitive energy markets and their regional integration:</w:t>
      </w:r>
    </w:p>
    <w:p w14:paraId="4B8BBC5D" w14:textId="77777777" w:rsidR="00D4217A" w:rsidRPr="00AF391B" w:rsidRDefault="00D4217A" w:rsidP="00B6327C">
      <w:pPr>
        <w:pStyle w:val="ListParagraph"/>
        <w:numPr>
          <w:ilvl w:val="0"/>
          <w:numId w:val="10"/>
        </w:numPr>
        <w:jc w:val="both"/>
        <w:rPr>
          <w:rFonts w:cstheme="minorHAnsi"/>
          <w:sz w:val="24"/>
          <w:szCs w:val="24"/>
          <w:lang w:eastAsia="ru-RU"/>
        </w:rPr>
      </w:pPr>
      <w:r w:rsidRPr="00AF391B">
        <w:rPr>
          <w:rFonts w:cstheme="minorHAnsi"/>
          <w:sz w:val="24"/>
          <w:szCs w:val="24"/>
          <w:lang w:eastAsia="ru-RU"/>
        </w:rPr>
        <w:t>Implementation of coordinated capacity calculation, cross-border capacity allocation and congestion management in accordance with applicable TCE regulations (FCA and CACM).</w:t>
      </w:r>
    </w:p>
    <w:p w14:paraId="4AC619AC" w14:textId="77777777" w:rsidR="00D4217A" w:rsidRPr="00AF391B" w:rsidRDefault="00D4217A" w:rsidP="00B6327C">
      <w:pPr>
        <w:pStyle w:val="ListParagraph"/>
        <w:numPr>
          <w:ilvl w:val="0"/>
          <w:numId w:val="10"/>
        </w:numPr>
        <w:jc w:val="both"/>
        <w:rPr>
          <w:rFonts w:cstheme="minorHAnsi"/>
          <w:sz w:val="24"/>
          <w:szCs w:val="24"/>
          <w:lang w:eastAsia="ru-RU"/>
        </w:rPr>
      </w:pPr>
      <w:r w:rsidRPr="00AF391B">
        <w:rPr>
          <w:rFonts w:cstheme="minorHAnsi"/>
          <w:sz w:val="24"/>
          <w:szCs w:val="24"/>
          <w:lang w:eastAsia="ru-RU"/>
        </w:rPr>
        <w:lastRenderedPageBreak/>
        <w:t>Implementation of a balancing mechanism and imbalance settlement in accordance with the current TCE and EU rules</w:t>
      </w:r>
    </w:p>
    <w:p w14:paraId="2CD3A5D1" w14:textId="77777777" w:rsidR="00D4217A" w:rsidRPr="00AF391B" w:rsidRDefault="00D4217A" w:rsidP="00B6327C">
      <w:pPr>
        <w:pStyle w:val="ListParagraph"/>
        <w:numPr>
          <w:ilvl w:val="0"/>
          <w:numId w:val="10"/>
        </w:numPr>
        <w:jc w:val="both"/>
        <w:rPr>
          <w:rFonts w:cstheme="minorHAnsi"/>
          <w:sz w:val="24"/>
          <w:szCs w:val="24"/>
          <w:lang w:eastAsia="ru-RU"/>
        </w:rPr>
      </w:pPr>
      <w:r w:rsidRPr="00AF391B">
        <w:rPr>
          <w:rFonts w:cstheme="minorHAnsi"/>
          <w:sz w:val="24"/>
          <w:szCs w:val="24"/>
          <w:lang w:eastAsia="ru-RU"/>
        </w:rPr>
        <w:t>Launching day-ahead and intra-day markets on the assumption that market consolidation with neighboring markets will increase competition and provide multiple opportunities for electricity transactions</w:t>
      </w:r>
    </w:p>
    <w:p w14:paraId="4E8CFD98" w14:textId="77777777" w:rsidR="00D4217A" w:rsidRPr="00AF391B" w:rsidRDefault="00D4217A" w:rsidP="00D4217A">
      <w:pPr>
        <w:spacing w:after="120"/>
        <w:jc w:val="both"/>
        <w:rPr>
          <w:rFonts w:cstheme="minorHAnsi"/>
          <w:sz w:val="24"/>
          <w:szCs w:val="24"/>
          <w:lang w:val="en-US" w:eastAsia="ru-RU"/>
        </w:rPr>
      </w:pPr>
      <w:r w:rsidRPr="00AF391B">
        <w:rPr>
          <w:rFonts w:cstheme="minorHAnsi"/>
          <w:sz w:val="24"/>
          <w:szCs w:val="24"/>
          <w:lang w:val="en-US"/>
        </w:rPr>
        <w:t>The same target</w:t>
      </w:r>
      <w:r w:rsidR="00A760D9" w:rsidRPr="00AF391B">
        <w:rPr>
          <w:rFonts w:cstheme="minorHAnsi"/>
          <w:sz w:val="24"/>
          <w:szCs w:val="24"/>
          <w:lang w:val="en-US"/>
        </w:rPr>
        <w:t xml:space="preserve">s </w:t>
      </w:r>
      <w:r w:rsidRPr="00AF391B">
        <w:rPr>
          <w:rFonts w:cstheme="minorHAnsi"/>
          <w:sz w:val="24"/>
          <w:szCs w:val="24"/>
          <w:lang w:val="en-US"/>
        </w:rPr>
        <w:t xml:space="preserve">for the 2030 – 2050 period refers to the use </w:t>
      </w:r>
      <w:r w:rsidRPr="00AF391B">
        <w:rPr>
          <w:rFonts w:cstheme="minorHAnsi"/>
          <w:sz w:val="24"/>
          <w:szCs w:val="24"/>
          <w:lang w:val="en-US" w:eastAsia="ru-RU"/>
        </w:rPr>
        <w:t>of platforms developed by ENTSO-E for the exchange of balancing and system services.</w:t>
      </w:r>
    </w:p>
    <w:p w14:paraId="11E992AD" w14:textId="77777777" w:rsidR="00D4217A" w:rsidRPr="00AF391B" w:rsidRDefault="00A760D9" w:rsidP="00A760D9">
      <w:pPr>
        <w:spacing w:after="120"/>
        <w:jc w:val="both"/>
        <w:rPr>
          <w:rFonts w:cstheme="minorHAnsi"/>
          <w:sz w:val="24"/>
          <w:szCs w:val="24"/>
          <w:lang w:val="en-US"/>
        </w:rPr>
      </w:pPr>
      <w:r w:rsidRPr="00AF391B">
        <w:rPr>
          <w:rFonts w:cstheme="minorHAnsi"/>
          <w:sz w:val="24"/>
          <w:szCs w:val="24"/>
          <w:lang w:val="en-US"/>
        </w:rPr>
        <w:t xml:space="preserve">In the Natural Gas sector, targets for the period up to 2030, as specified in </w:t>
      </w:r>
      <w:r w:rsidRPr="00C5380F">
        <w:rPr>
          <w:rFonts w:cstheme="minorHAnsi"/>
          <w:sz w:val="24"/>
          <w:szCs w:val="24"/>
          <w:highlight w:val="yellow"/>
          <w:lang w:val="en-US"/>
        </w:rPr>
        <w:t xml:space="preserve">the </w:t>
      </w:r>
      <w:r w:rsidRPr="00C5380F">
        <w:rPr>
          <w:rFonts w:cstheme="minorHAnsi"/>
          <w:sz w:val="24"/>
          <w:szCs w:val="24"/>
          <w:highlight w:val="yellow"/>
          <w:lang w:val="en-GB"/>
        </w:rPr>
        <w:t>Concept of the Energy Strategy of the Republic of Moldova for 2050</w:t>
      </w:r>
      <w:r w:rsidRPr="00AF391B">
        <w:rPr>
          <w:rFonts w:cstheme="minorHAnsi"/>
          <w:sz w:val="24"/>
          <w:szCs w:val="24"/>
          <w:lang w:val="en-US"/>
        </w:rPr>
        <w:t>, include:</w:t>
      </w:r>
    </w:p>
    <w:p w14:paraId="48ACC440" w14:textId="77777777" w:rsidR="00A760D9" w:rsidRPr="00AF391B" w:rsidRDefault="00A760D9" w:rsidP="00B6327C">
      <w:pPr>
        <w:pStyle w:val="Default"/>
        <w:numPr>
          <w:ilvl w:val="0"/>
          <w:numId w:val="5"/>
        </w:numPr>
        <w:spacing w:after="120"/>
        <w:ind w:left="450" w:hanging="283"/>
        <w:jc w:val="both"/>
        <w:rPr>
          <w:rFonts w:asciiTheme="minorHAnsi" w:hAnsiTheme="minorHAnsi" w:cstheme="minorHAnsi"/>
          <w:lang w:val="en-US"/>
        </w:rPr>
      </w:pPr>
      <w:r w:rsidRPr="00AF391B">
        <w:rPr>
          <w:rFonts w:asciiTheme="minorHAnsi" w:hAnsiTheme="minorHAnsi" w:cstheme="minorHAnsi"/>
          <w:lang w:val="en-US"/>
        </w:rPr>
        <w:t>Modernization of natural gas distribution and transport networks and reduction of losses;</w:t>
      </w:r>
    </w:p>
    <w:p w14:paraId="26F19714" w14:textId="77777777" w:rsidR="00A760D9" w:rsidRPr="00AF391B" w:rsidRDefault="00A760D9" w:rsidP="00B6327C">
      <w:pPr>
        <w:pStyle w:val="Default"/>
        <w:numPr>
          <w:ilvl w:val="0"/>
          <w:numId w:val="5"/>
        </w:numPr>
        <w:spacing w:after="120"/>
        <w:ind w:left="450" w:hanging="283"/>
        <w:jc w:val="both"/>
        <w:rPr>
          <w:rFonts w:asciiTheme="minorHAnsi" w:hAnsiTheme="minorHAnsi" w:cstheme="minorHAnsi"/>
          <w:lang w:val="en-US"/>
        </w:rPr>
      </w:pPr>
      <w:r w:rsidRPr="00AF391B">
        <w:rPr>
          <w:rFonts w:asciiTheme="minorHAnsi" w:hAnsiTheme="minorHAnsi" w:cstheme="minorHAnsi"/>
          <w:lang w:val="en-US"/>
        </w:rPr>
        <w:t>Transposition and implementation of Network Codes;</w:t>
      </w:r>
    </w:p>
    <w:p w14:paraId="1D3DAD37" w14:textId="77777777" w:rsidR="00A760D9" w:rsidRPr="00AF391B" w:rsidRDefault="00A760D9" w:rsidP="00B6327C">
      <w:pPr>
        <w:pStyle w:val="Default"/>
        <w:numPr>
          <w:ilvl w:val="0"/>
          <w:numId w:val="5"/>
        </w:numPr>
        <w:spacing w:after="120"/>
        <w:ind w:left="450" w:hanging="283"/>
        <w:jc w:val="both"/>
        <w:rPr>
          <w:rFonts w:asciiTheme="minorHAnsi" w:hAnsiTheme="minorHAnsi" w:cstheme="minorHAnsi"/>
          <w:lang w:val="en-GB"/>
        </w:rPr>
      </w:pPr>
      <w:r w:rsidRPr="00AF391B">
        <w:rPr>
          <w:rFonts w:asciiTheme="minorHAnsi" w:hAnsiTheme="minorHAnsi" w:cstheme="minorHAnsi"/>
          <w:lang w:val="en-US"/>
        </w:rPr>
        <w:t>Creation of natural gas trading platforms and a capacity allocation process at interconnection points;</w:t>
      </w:r>
    </w:p>
    <w:p w14:paraId="622ACD60" w14:textId="77777777" w:rsidR="00A760D9" w:rsidRPr="00AF391B" w:rsidRDefault="00A760D9" w:rsidP="00B6327C">
      <w:pPr>
        <w:pStyle w:val="Default"/>
        <w:numPr>
          <w:ilvl w:val="0"/>
          <w:numId w:val="5"/>
        </w:numPr>
        <w:spacing w:after="120"/>
        <w:ind w:left="450" w:hanging="283"/>
        <w:jc w:val="both"/>
        <w:rPr>
          <w:rFonts w:asciiTheme="minorHAnsi" w:hAnsiTheme="minorHAnsi" w:cstheme="minorHAnsi"/>
          <w:lang w:val="en-GB"/>
        </w:rPr>
      </w:pPr>
      <w:r w:rsidRPr="00AF391B">
        <w:rPr>
          <w:rFonts w:asciiTheme="minorHAnsi" w:hAnsiTheme="minorHAnsi" w:cstheme="minorHAnsi"/>
          <w:lang w:val="en-GB"/>
        </w:rPr>
        <w:t>Continue market opening and gradual liberalization of the natural gas market.</w:t>
      </w:r>
    </w:p>
    <w:p w14:paraId="1F15D722" w14:textId="77777777" w:rsidR="00A760D9" w:rsidRPr="00AF391B" w:rsidRDefault="00A760D9" w:rsidP="00A760D9">
      <w:pPr>
        <w:spacing w:after="120"/>
        <w:jc w:val="both"/>
        <w:rPr>
          <w:rFonts w:cstheme="minorHAnsi"/>
          <w:sz w:val="24"/>
          <w:szCs w:val="24"/>
          <w:lang w:val="en-GB"/>
        </w:rPr>
      </w:pPr>
      <w:r w:rsidRPr="00AF391B">
        <w:rPr>
          <w:rFonts w:cstheme="minorHAnsi"/>
          <w:sz w:val="24"/>
          <w:szCs w:val="24"/>
          <w:lang w:val="en-GB"/>
        </w:rPr>
        <w:t>For the 2030 – 2050 period, targets in the Natural Gas sector refer mainly to further compliance with applicable EU legislation and Sectoral coupling rules and hydrogen market integration.</w:t>
      </w:r>
    </w:p>
    <w:p w14:paraId="23EB057A" w14:textId="77777777" w:rsidR="00A760D9" w:rsidRPr="00AF391B" w:rsidRDefault="003D6288" w:rsidP="00A760D9">
      <w:pPr>
        <w:spacing w:after="120"/>
        <w:jc w:val="both"/>
        <w:rPr>
          <w:rFonts w:cstheme="minorHAnsi"/>
          <w:sz w:val="24"/>
          <w:szCs w:val="24"/>
          <w:lang w:val="en-GB"/>
        </w:rPr>
      </w:pPr>
      <w:r w:rsidRPr="00AF391B">
        <w:rPr>
          <w:rFonts w:cstheme="minorHAnsi"/>
          <w:sz w:val="24"/>
          <w:szCs w:val="24"/>
          <w:lang w:val="en-GB"/>
        </w:rPr>
        <w:t>EU support for the alignment of Moldovan legislation to EU regulations in the energy sector is carried out under the framework of the Energy Community; alignment should, in due course, contribute to the extension of the EU internal energy market to Moldova.</w:t>
      </w:r>
      <w:r w:rsidR="00A760D9" w:rsidRPr="00AF391B">
        <w:rPr>
          <w:rFonts w:cstheme="minorHAnsi"/>
          <w:sz w:val="24"/>
          <w:szCs w:val="24"/>
          <w:lang w:val="en-GB"/>
        </w:rPr>
        <w:t xml:space="preserve"> Energy sector issues are covered in Chapter 14 of the AA and in particular in article 77, which includes, among others:</w:t>
      </w:r>
    </w:p>
    <w:p w14:paraId="0A3DCFCC" w14:textId="77777777" w:rsidR="00A760D9" w:rsidRPr="00AF391B" w:rsidRDefault="00A760D9" w:rsidP="00B6327C">
      <w:pPr>
        <w:pStyle w:val="ListParagraph"/>
        <w:numPr>
          <w:ilvl w:val="1"/>
          <w:numId w:val="3"/>
        </w:numPr>
        <w:jc w:val="both"/>
        <w:rPr>
          <w:rFonts w:cstheme="minorHAnsi"/>
          <w:sz w:val="24"/>
          <w:szCs w:val="24"/>
          <w:lang w:val="en-GB"/>
        </w:rPr>
      </w:pPr>
      <w:r w:rsidRPr="00AF391B">
        <w:rPr>
          <w:rFonts w:cstheme="minorHAnsi"/>
          <w:sz w:val="24"/>
          <w:szCs w:val="24"/>
          <w:lang w:val="en-GB"/>
        </w:rPr>
        <w:t xml:space="preserve">Energy strategies and policies; </w:t>
      </w:r>
    </w:p>
    <w:p w14:paraId="00597A9D" w14:textId="77777777" w:rsidR="00A760D9" w:rsidRPr="00AF391B" w:rsidRDefault="00A760D9" w:rsidP="00B6327C">
      <w:pPr>
        <w:pStyle w:val="ListParagraph"/>
        <w:numPr>
          <w:ilvl w:val="1"/>
          <w:numId w:val="3"/>
        </w:numPr>
        <w:jc w:val="both"/>
        <w:rPr>
          <w:rFonts w:cstheme="minorHAnsi"/>
          <w:sz w:val="24"/>
          <w:szCs w:val="24"/>
          <w:lang w:val="en-GB"/>
        </w:rPr>
      </w:pPr>
      <w:r w:rsidRPr="00AF391B">
        <w:rPr>
          <w:rFonts w:cstheme="minorHAnsi"/>
          <w:sz w:val="24"/>
          <w:szCs w:val="24"/>
          <w:lang w:val="en-GB"/>
        </w:rPr>
        <w:t>The development of competitive, transparent and non-discriminatory energy markets in accordance with EU standards;</w:t>
      </w:r>
    </w:p>
    <w:p w14:paraId="03C180AD" w14:textId="77777777" w:rsidR="00A760D9" w:rsidRPr="00AF391B" w:rsidRDefault="00A760D9" w:rsidP="00B6327C">
      <w:pPr>
        <w:pStyle w:val="ListParagraph"/>
        <w:numPr>
          <w:ilvl w:val="1"/>
          <w:numId w:val="3"/>
        </w:numPr>
        <w:jc w:val="both"/>
        <w:rPr>
          <w:rFonts w:cstheme="minorHAnsi"/>
          <w:sz w:val="24"/>
          <w:szCs w:val="24"/>
          <w:lang w:val="en-GB"/>
        </w:rPr>
      </w:pPr>
      <w:r w:rsidRPr="00AF391B">
        <w:rPr>
          <w:rFonts w:cstheme="minorHAnsi"/>
          <w:sz w:val="24"/>
          <w:szCs w:val="24"/>
          <w:lang w:val="en-GB"/>
        </w:rPr>
        <w:t xml:space="preserve">Energy infrastructure, including projects of common interest; and </w:t>
      </w:r>
    </w:p>
    <w:p w14:paraId="317223B3" w14:textId="77777777" w:rsidR="00A760D9" w:rsidRPr="00AF391B" w:rsidRDefault="00A760D9" w:rsidP="00B6327C">
      <w:pPr>
        <w:pStyle w:val="ListParagraph"/>
        <w:numPr>
          <w:ilvl w:val="1"/>
          <w:numId w:val="3"/>
        </w:numPr>
        <w:jc w:val="both"/>
        <w:rPr>
          <w:rFonts w:cstheme="minorHAnsi"/>
          <w:sz w:val="24"/>
          <w:szCs w:val="24"/>
          <w:lang w:val="en-GB"/>
        </w:rPr>
      </w:pPr>
      <w:r w:rsidRPr="00AF391B">
        <w:rPr>
          <w:rFonts w:cstheme="minorHAnsi"/>
          <w:sz w:val="24"/>
          <w:szCs w:val="24"/>
          <w:lang w:val="en-GB"/>
        </w:rPr>
        <w:t xml:space="preserve">Enhancement and strengthening of long-term stability and security of energy supply. </w:t>
      </w:r>
    </w:p>
    <w:p w14:paraId="0BC22F50" w14:textId="77777777" w:rsidR="00A760D9" w:rsidRPr="00AF391B" w:rsidRDefault="00A760D9" w:rsidP="00A760D9">
      <w:pPr>
        <w:spacing w:after="120"/>
        <w:jc w:val="both"/>
        <w:rPr>
          <w:rFonts w:cstheme="minorHAnsi"/>
          <w:b/>
          <w:bCs/>
          <w:i/>
          <w:sz w:val="24"/>
          <w:szCs w:val="24"/>
          <w:lang w:val="en-GB"/>
        </w:rPr>
      </w:pPr>
      <w:r w:rsidRPr="00AF391B">
        <w:rPr>
          <w:rFonts w:cstheme="minorHAnsi"/>
          <w:b/>
          <w:bCs/>
          <w:i/>
          <w:sz w:val="24"/>
          <w:szCs w:val="24"/>
          <w:lang w:val="en-GB"/>
        </w:rPr>
        <w:t>Energy Poverty</w:t>
      </w:r>
    </w:p>
    <w:p w14:paraId="339DD783" w14:textId="77777777" w:rsidR="006161FF" w:rsidRPr="00AF391B" w:rsidRDefault="006161FF" w:rsidP="006161FF">
      <w:pPr>
        <w:spacing w:before="120" w:after="120" w:line="276" w:lineRule="auto"/>
        <w:jc w:val="both"/>
        <w:rPr>
          <w:rFonts w:cstheme="minorHAnsi"/>
          <w:iCs/>
          <w:sz w:val="24"/>
          <w:szCs w:val="24"/>
          <w:lang w:val="en-US"/>
        </w:rPr>
      </w:pPr>
      <w:r w:rsidRPr="00AF391B">
        <w:rPr>
          <w:rFonts w:cstheme="minorHAnsi"/>
          <w:iCs/>
          <w:sz w:val="24"/>
          <w:szCs w:val="24"/>
          <w:lang w:val="en-US"/>
        </w:rPr>
        <w:t xml:space="preserve">The Law on Energy Efficiency No. 139 of 07/19/2018 defines “Energy poverty” as </w:t>
      </w:r>
      <w:r w:rsidRPr="00AF391B">
        <w:rPr>
          <w:rFonts w:cstheme="minorHAnsi"/>
          <w:i/>
          <w:iCs/>
          <w:sz w:val="24"/>
          <w:szCs w:val="24"/>
          <w:lang w:val="en-US"/>
        </w:rPr>
        <w:t>“a situation characterized by the final consumer's lack of access to modern energy sources and technologies and/or by the reduced purchasing power of consumers for energy resources, especially cooking fuels, electricity and/or thermal energy, and /or due to the lack of thermal comfort in the home or building”</w:t>
      </w:r>
      <w:r w:rsidRPr="00AF391B">
        <w:rPr>
          <w:rFonts w:cstheme="minorHAnsi"/>
          <w:iCs/>
          <w:sz w:val="24"/>
          <w:szCs w:val="24"/>
          <w:lang w:val="en-US"/>
        </w:rPr>
        <w:t xml:space="preserve">. </w:t>
      </w:r>
    </w:p>
    <w:p w14:paraId="49617B55" w14:textId="77777777" w:rsidR="006161FF" w:rsidRPr="00AF391B" w:rsidRDefault="006161FF" w:rsidP="006161FF">
      <w:pPr>
        <w:spacing w:before="120" w:after="120" w:line="276" w:lineRule="auto"/>
        <w:jc w:val="both"/>
        <w:rPr>
          <w:rFonts w:cstheme="minorHAnsi"/>
          <w:iCs/>
          <w:sz w:val="24"/>
          <w:szCs w:val="24"/>
          <w:lang w:val="en-US"/>
        </w:rPr>
      </w:pPr>
      <w:r w:rsidRPr="00AF391B">
        <w:rPr>
          <w:rFonts w:cstheme="minorHAnsi"/>
          <w:iCs/>
          <w:sz w:val="24"/>
          <w:szCs w:val="24"/>
          <w:lang w:val="en-US"/>
        </w:rPr>
        <w:t>The National Development Strategy “European Moldova 2030”</w:t>
      </w:r>
      <w:r w:rsidRPr="00AF391B">
        <w:rPr>
          <w:rStyle w:val="FootnoteReference"/>
          <w:rFonts w:asciiTheme="minorHAnsi" w:hAnsiTheme="minorHAnsi" w:cstheme="minorHAnsi"/>
          <w:iCs/>
          <w:sz w:val="24"/>
          <w:szCs w:val="24"/>
        </w:rPr>
        <w:footnoteReference w:id="12"/>
      </w:r>
      <w:r w:rsidRPr="00AF391B">
        <w:rPr>
          <w:rFonts w:cstheme="minorHAnsi"/>
          <w:iCs/>
          <w:sz w:val="24"/>
          <w:szCs w:val="24"/>
          <w:lang w:val="en-US"/>
        </w:rPr>
        <w:t xml:space="preserve">  includes the reduction by at least 50% of the level of absolute poverty in 2030. </w:t>
      </w:r>
    </w:p>
    <w:p w14:paraId="1B5DE684" w14:textId="77777777" w:rsidR="006161FF" w:rsidRPr="00AF391B" w:rsidRDefault="006161FF" w:rsidP="003D6288">
      <w:pPr>
        <w:jc w:val="both"/>
        <w:rPr>
          <w:rFonts w:cstheme="minorHAnsi"/>
          <w:b/>
          <w:bCs/>
          <w:i/>
          <w:iCs/>
          <w:sz w:val="24"/>
          <w:szCs w:val="24"/>
          <w:lang w:val="en-US"/>
        </w:rPr>
      </w:pPr>
      <w:r w:rsidRPr="00AF391B">
        <w:rPr>
          <w:rFonts w:cstheme="minorHAnsi"/>
          <w:b/>
          <w:bCs/>
          <w:i/>
          <w:iCs/>
          <w:sz w:val="24"/>
          <w:szCs w:val="24"/>
          <w:lang w:val="en-US"/>
        </w:rPr>
        <w:lastRenderedPageBreak/>
        <w:t>Dimension Research, Innovation and Competitiveness</w:t>
      </w:r>
    </w:p>
    <w:p w14:paraId="7C611DA8" w14:textId="77777777" w:rsidR="003D6288" w:rsidRPr="00AF391B" w:rsidRDefault="003D6288" w:rsidP="003D6288">
      <w:pPr>
        <w:jc w:val="both"/>
        <w:rPr>
          <w:rFonts w:cstheme="minorHAnsi"/>
          <w:sz w:val="24"/>
          <w:szCs w:val="24"/>
          <w:lang w:val="en-US"/>
        </w:rPr>
      </w:pPr>
      <w:r w:rsidRPr="00AF391B">
        <w:rPr>
          <w:rFonts w:cstheme="minorHAnsi"/>
          <w:sz w:val="24"/>
          <w:szCs w:val="24"/>
          <w:lang w:val="en-US"/>
        </w:rPr>
        <w:t xml:space="preserve">The Government </w:t>
      </w:r>
      <w:r w:rsidR="00E36517" w:rsidRPr="00AF391B">
        <w:rPr>
          <w:rFonts w:cstheme="minorHAnsi"/>
          <w:sz w:val="24"/>
          <w:szCs w:val="24"/>
          <w:lang w:val="en-US"/>
        </w:rPr>
        <w:t xml:space="preserve">of Moldova </w:t>
      </w:r>
      <w:r w:rsidRPr="00AF391B">
        <w:rPr>
          <w:rFonts w:cstheme="minorHAnsi"/>
          <w:sz w:val="24"/>
          <w:szCs w:val="24"/>
          <w:lang w:val="en-US"/>
        </w:rPr>
        <w:t xml:space="preserve">shows strong commitment to reforming the national science and innovation system. The Ministry of Education and Research is the key institution in promoting research and innovation. </w:t>
      </w:r>
    </w:p>
    <w:p w14:paraId="34BBAFB7" w14:textId="77777777" w:rsidR="003D6288" w:rsidRPr="00AF391B" w:rsidRDefault="003D6288" w:rsidP="003D6288">
      <w:pPr>
        <w:jc w:val="both"/>
        <w:rPr>
          <w:rFonts w:cstheme="minorHAnsi"/>
          <w:sz w:val="24"/>
          <w:szCs w:val="24"/>
          <w:lang w:val="en-US"/>
        </w:rPr>
      </w:pPr>
      <w:r w:rsidRPr="00AF391B">
        <w:rPr>
          <w:rFonts w:cstheme="minorHAnsi"/>
          <w:sz w:val="24"/>
          <w:szCs w:val="24"/>
          <w:lang w:val="en-US"/>
        </w:rPr>
        <w:t xml:space="preserve">Recognizing the potential for innovation, the Republic of Moldova has taken several important steps to reform innovation governance over the past years. These include: </w:t>
      </w:r>
    </w:p>
    <w:p w14:paraId="1F50D8B9" w14:textId="77777777" w:rsidR="003D6288" w:rsidRPr="00AF391B" w:rsidRDefault="003D6288" w:rsidP="00B6327C">
      <w:pPr>
        <w:pStyle w:val="ListParagraph"/>
        <w:numPr>
          <w:ilvl w:val="0"/>
          <w:numId w:val="4"/>
        </w:numPr>
        <w:jc w:val="both"/>
        <w:rPr>
          <w:rFonts w:cstheme="minorHAnsi"/>
          <w:sz w:val="24"/>
          <w:szCs w:val="24"/>
        </w:rPr>
      </w:pPr>
      <w:r w:rsidRPr="00AF391B">
        <w:rPr>
          <w:rFonts w:cstheme="minorHAnsi"/>
          <w:sz w:val="24"/>
          <w:szCs w:val="24"/>
        </w:rPr>
        <w:t xml:space="preserve">The National Program for Research and Innovation for 2020-2023 unifies previously fragmented policy areas and has an Action Plan that defines subsequent steps for achieving innovation policy objectives. The program aligns with other overarching policy objectives anchored in strategic documents on education, SME’s and industrial development. </w:t>
      </w:r>
    </w:p>
    <w:p w14:paraId="7B96F17E" w14:textId="77777777" w:rsidR="003D6288" w:rsidRPr="00AF391B" w:rsidRDefault="003D6288" w:rsidP="00B6327C">
      <w:pPr>
        <w:pStyle w:val="ListParagraph"/>
        <w:numPr>
          <w:ilvl w:val="0"/>
          <w:numId w:val="4"/>
        </w:numPr>
        <w:jc w:val="both"/>
        <w:rPr>
          <w:rFonts w:cstheme="minorHAnsi"/>
          <w:sz w:val="24"/>
          <w:szCs w:val="24"/>
        </w:rPr>
      </w:pPr>
      <w:r w:rsidRPr="00AF391B">
        <w:rPr>
          <w:rFonts w:cstheme="minorHAnsi"/>
          <w:sz w:val="24"/>
          <w:szCs w:val="24"/>
        </w:rPr>
        <w:t xml:space="preserve">Various mechanisms to promote knowledge transfer and innovation are available. The Organization for Development of Entrepreneurship (ODA), an organization under the Ministry of Economic Development and Digitalization, is a dedicated SME’s development agency that supports businesses through programs and services aimed at strengthening entrepreneurship and competitiveness. A wide range of business plan and start-up competitions supports the growing start-up movement and fosters innovative entrepreneurship. Fiscal incentives applied in the Information Technology sector create a favorable business environment and stimulate demand for new technologies and sectoral growth. </w:t>
      </w:r>
    </w:p>
    <w:p w14:paraId="68BB6921" w14:textId="77777777" w:rsidR="003D6288" w:rsidRPr="00AF391B" w:rsidRDefault="003D6288" w:rsidP="00B6327C">
      <w:pPr>
        <w:pStyle w:val="ListParagraph"/>
        <w:numPr>
          <w:ilvl w:val="0"/>
          <w:numId w:val="4"/>
        </w:numPr>
        <w:jc w:val="both"/>
        <w:rPr>
          <w:rFonts w:cstheme="minorHAnsi"/>
          <w:sz w:val="24"/>
          <w:szCs w:val="24"/>
        </w:rPr>
      </w:pPr>
      <w:r w:rsidRPr="00AF391B">
        <w:rPr>
          <w:rFonts w:cstheme="minorHAnsi"/>
          <w:sz w:val="24"/>
          <w:szCs w:val="24"/>
        </w:rPr>
        <w:t>Legal frameworks for public-private dialogue and inter-ministerial consultation on draft policies are in place. Through advocacy and lobbying strategies, business associations also have a growing voice in policy design.</w:t>
      </w:r>
    </w:p>
    <w:p w14:paraId="78BD08A7" w14:textId="77777777" w:rsidR="003D6288" w:rsidRPr="00AF391B" w:rsidRDefault="003D6288" w:rsidP="003D6288">
      <w:pPr>
        <w:jc w:val="both"/>
        <w:rPr>
          <w:rFonts w:cstheme="minorHAnsi"/>
          <w:sz w:val="24"/>
          <w:szCs w:val="24"/>
          <w:lang w:val="en-US"/>
        </w:rPr>
      </w:pPr>
      <w:r w:rsidRPr="00AF391B">
        <w:rPr>
          <w:rFonts w:cstheme="minorHAnsi"/>
          <w:sz w:val="24"/>
          <w:szCs w:val="24"/>
          <w:lang w:val="en-US"/>
        </w:rPr>
        <w:t>Enabling and promoting innovation also involves tackling a range of systemic constraints in the economy. To transform the human capital into a knowledge-based economy, the country must address the low demand for innovation and increase funding for research and development activities. A mismatch between educational outputs and job-relevant skills and low engagement of the private sector in Research and Development (R&amp;D) obstruct commercialization efforts of innovative results.</w:t>
      </w:r>
    </w:p>
    <w:p w14:paraId="0701DD91" w14:textId="77777777" w:rsidR="003D6288" w:rsidRPr="00AF391B" w:rsidRDefault="003D6288" w:rsidP="003D6288">
      <w:pPr>
        <w:jc w:val="both"/>
        <w:rPr>
          <w:rFonts w:cstheme="minorHAnsi"/>
          <w:sz w:val="24"/>
          <w:szCs w:val="24"/>
          <w:lang w:val="en-US"/>
        </w:rPr>
      </w:pPr>
      <w:r w:rsidRPr="00AF391B">
        <w:rPr>
          <w:rFonts w:cstheme="minorHAnsi"/>
          <w:sz w:val="24"/>
          <w:szCs w:val="24"/>
          <w:lang w:val="en-US"/>
        </w:rPr>
        <w:t>National Agency for Research and Development (NARD) is a central administrative authority under the Government of the Republic of Moldova. NARD is the legal successor of rights and obligations of Center of International Projects, Agency for Innovation and Transfer Technology and Agency for Research and Development, public institutions under Academy of Sciences of Moldova. NARD is responsible for the implementation of the research, innovation and development of national policy, the EU Framework Program for Research and Innovation Horizon 2020 and other European Programs and the coordination of Moldovan Office for Science and Technology in Brussels (MOST). NARD has the mission to ensure excellence and performance in achieving national priorities in the areas of research, innovation and development. The agency is providing contest-based funding for research, innovation and technology transfer projects. NARD encourages public-public and public-private partnerships by matchmaking and organizing of brokerage events.</w:t>
      </w:r>
    </w:p>
    <w:p w14:paraId="6D9DB08E" w14:textId="77777777" w:rsidR="007F63DB" w:rsidRPr="00AF391B" w:rsidRDefault="007F63DB" w:rsidP="007F63DB">
      <w:pPr>
        <w:jc w:val="both"/>
        <w:rPr>
          <w:rFonts w:cstheme="minorHAnsi"/>
          <w:sz w:val="24"/>
          <w:szCs w:val="24"/>
          <w:lang w:val="en-US"/>
        </w:rPr>
      </w:pPr>
      <w:r w:rsidRPr="00AF391B">
        <w:rPr>
          <w:rFonts w:cstheme="minorHAnsi"/>
          <w:sz w:val="24"/>
          <w:szCs w:val="24"/>
          <w:lang w:val="en-US"/>
        </w:rPr>
        <w:lastRenderedPageBreak/>
        <w:t>The State Agency on Intellectual Property (AGEPI) is a central administrative authority subordinated to the Government, responsible for promoting and implementing activities in the field of legal protection of intellectual property related to industrial property rights, copyright and related rights.</w:t>
      </w:r>
      <w:r w:rsidRPr="00AF391B">
        <w:rPr>
          <w:rFonts w:eastAsia="Times New Roman" w:cstheme="minorHAnsi"/>
          <w:color w:val="3B3B3B"/>
          <w:sz w:val="24"/>
          <w:szCs w:val="24"/>
          <w:lang w:val="en-US"/>
        </w:rPr>
        <w:t xml:space="preserve"> </w:t>
      </w:r>
      <w:r w:rsidRPr="00AF391B">
        <w:rPr>
          <w:rFonts w:cstheme="minorHAnsi"/>
          <w:sz w:val="24"/>
          <w:szCs w:val="24"/>
          <w:lang w:val="en-US"/>
        </w:rPr>
        <w:t>AGEPI has the following main </w:t>
      </w:r>
      <w:r w:rsidRPr="00AF391B">
        <w:rPr>
          <w:rFonts w:cstheme="minorHAnsi"/>
          <w:bCs/>
          <w:sz w:val="24"/>
          <w:szCs w:val="24"/>
          <w:lang w:val="en-US"/>
        </w:rPr>
        <w:t>functions</w:t>
      </w:r>
      <w:r w:rsidRPr="00AF391B">
        <w:rPr>
          <w:rFonts w:cstheme="minorHAnsi"/>
          <w:sz w:val="24"/>
          <w:szCs w:val="24"/>
          <w:lang w:val="en-US"/>
        </w:rPr>
        <w:t>: strategically plans and implements the national system of intellectual property development; organizes and manages the functioning of the national system of intellectual property, under the legislation of the Republic of Moldova and the International Treaties to which the Republic of Moldova is party.</w:t>
      </w:r>
    </w:p>
    <w:p w14:paraId="58477542" w14:textId="77777777" w:rsidR="00F91E6F" w:rsidRPr="00AF391B" w:rsidRDefault="00F91E6F" w:rsidP="003D6288">
      <w:pPr>
        <w:jc w:val="both"/>
        <w:rPr>
          <w:rFonts w:cstheme="minorHAnsi"/>
          <w:b/>
          <w:bCs/>
          <w:i/>
          <w:iCs/>
          <w:sz w:val="24"/>
          <w:szCs w:val="24"/>
          <w:lang w:val="en-US"/>
        </w:rPr>
      </w:pPr>
      <w:r w:rsidRPr="00AF391B">
        <w:rPr>
          <w:rFonts w:cstheme="minorHAnsi"/>
          <w:b/>
          <w:bCs/>
          <w:i/>
          <w:iCs/>
          <w:sz w:val="24"/>
          <w:szCs w:val="24"/>
          <w:lang w:val="en-US"/>
        </w:rPr>
        <w:t>Overview tables with key objectives and targets</w:t>
      </w:r>
    </w:p>
    <w:p w14:paraId="486A51D9" w14:textId="77777777" w:rsidR="003D6288" w:rsidRPr="00AF391B" w:rsidRDefault="003D6288" w:rsidP="003D6288">
      <w:pPr>
        <w:jc w:val="both"/>
        <w:rPr>
          <w:rFonts w:cstheme="minorHAnsi"/>
          <w:sz w:val="24"/>
          <w:szCs w:val="24"/>
          <w:lang w:val="en-US"/>
        </w:rPr>
      </w:pPr>
      <w:r w:rsidRPr="00AF391B">
        <w:rPr>
          <w:rFonts w:cstheme="minorHAnsi"/>
          <w:sz w:val="24"/>
          <w:szCs w:val="24"/>
          <w:lang w:val="en-US"/>
        </w:rPr>
        <w:t>Table 1 below shows the key NECP indicators as a result of simulations performed with the TIMES software up to the year 2050, accordingly to the scenario With Existing Measures (WEM, unconditional) and to the scenario With Planned Measures (WPM, conditional) for the Right bank of the Dniester River. In gray the mandatory targets are underlined for 2030.</w:t>
      </w:r>
    </w:p>
    <w:p w14:paraId="31D2C8C0" w14:textId="77777777" w:rsidR="003D6288" w:rsidRPr="00AF391B" w:rsidRDefault="003D6288" w:rsidP="00ED29CF">
      <w:pPr>
        <w:pStyle w:val="Caption"/>
        <w:jc w:val="both"/>
        <w:rPr>
          <w:rFonts w:cstheme="minorHAnsi"/>
          <w:b/>
          <w:bCs/>
          <w:color w:val="auto"/>
          <w:sz w:val="24"/>
          <w:szCs w:val="24"/>
          <w:lang w:val="en-US"/>
        </w:rPr>
      </w:pPr>
      <w:bookmarkStart w:id="3" w:name="_Toc153298635"/>
      <w:r w:rsidRPr="00AF391B">
        <w:rPr>
          <w:rFonts w:cstheme="minorHAnsi"/>
          <w:b/>
          <w:bCs/>
          <w:color w:val="auto"/>
          <w:sz w:val="24"/>
          <w:szCs w:val="24"/>
          <w:lang w:val="en-US"/>
        </w:rPr>
        <w:t xml:space="preserve">Table </w:t>
      </w:r>
      <w:r w:rsidRPr="00AF391B">
        <w:rPr>
          <w:rFonts w:cstheme="minorHAnsi"/>
          <w:b/>
          <w:bCs/>
          <w:color w:val="auto"/>
          <w:sz w:val="24"/>
          <w:szCs w:val="24"/>
          <w:lang w:val="en-US"/>
        </w:rPr>
        <w:fldChar w:fldCharType="begin"/>
      </w:r>
      <w:r w:rsidRPr="00AF391B">
        <w:rPr>
          <w:rFonts w:cstheme="minorHAnsi"/>
          <w:b/>
          <w:bCs/>
          <w:color w:val="auto"/>
          <w:sz w:val="24"/>
          <w:szCs w:val="24"/>
          <w:lang w:val="en-US"/>
        </w:rPr>
        <w:instrText xml:space="preserve"> SEQ Table \* ARABIC </w:instrText>
      </w:r>
      <w:r w:rsidRPr="00AF391B">
        <w:rPr>
          <w:rFonts w:cstheme="minorHAnsi"/>
          <w:b/>
          <w:bCs/>
          <w:color w:val="auto"/>
          <w:sz w:val="24"/>
          <w:szCs w:val="24"/>
          <w:lang w:val="en-US"/>
        </w:rPr>
        <w:fldChar w:fldCharType="separate"/>
      </w:r>
      <w:r w:rsidRPr="00AF391B">
        <w:rPr>
          <w:rFonts w:cstheme="minorHAnsi"/>
          <w:b/>
          <w:bCs/>
          <w:noProof/>
          <w:color w:val="auto"/>
          <w:sz w:val="24"/>
          <w:szCs w:val="24"/>
          <w:lang w:val="en-US"/>
        </w:rPr>
        <w:t>1</w:t>
      </w:r>
      <w:r w:rsidRPr="00AF391B">
        <w:rPr>
          <w:rFonts w:cstheme="minorHAnsi"/>
          <w:b/>
          <w:bCs/>
          <w:color w:val="auto"/>
          <w:sz w:val="24"/>
          <w:szCs w:val="24"/>
          <w:lang w:val="en-US"/>
        </w:rPr>
        <w:fldChar w:fldCharType="end"/>
      </w:r>
      <w:r w:rsidRPr="00AF391B">
        <w:rPr>
          <w:rFonts w:cstheme="minorHAnsi"/>
          <w:b/>
          <w:bCs/>
          <w:color w:val="auto"/>
          <w:sz w:val="24"/>
          <w:szCs w:val="24"/>
          <w:lang w:val="en-US"/>
        </w:rPr>
        <w:t>. Summary of NECP indicators for the Right bank of the Dniester River up to the year 2050</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862"/>
        <w:gridCol w:w="862"/>
        <w:gridCol w:w="862"/>
        <w:gridCol w:w="862"/>
        <w:gridCol w:w="862"/>
        <w:gridCol w:w="862"/>
        <w:gridCol w:w="862"/>
      </w:tblGrid>
      <w:tr w:rsidR="003D6288" w:rsidRPr="00AF391B" w14:paraId="054FD00A" w14:textId="77777777" w:rsidTr="00F91E6F">
        <w:trPr>
          <w:trHeight w:val="300"/>
        </w:trPr>
        <w:tc>
          <w:tcPr>
            <w:tcW w:w="1327" w:type="pct"/>
            <w:shd w:val="clear" w:color="auto" w:fill="BDD6EE" w:themeFill="accent1" w:themeFillTint="66"/>
            <w:noWrap/>
            <w:vAlign w:val="bottom"/>
            <w:hideMark/>
          </w:tcPr>
          <w:p w14:paraId="7E6C3C32" w14:textId="77777777" w:rsidR="003D6288" w:rsidRPr="00AF391B" w:rsidRDefault="003D6288" w:rsidP="00F91E6F">
            <w:pPr>
              <w:spacing w:after="0" w:line="240" w:lineRule="auto"/>
              <w:rPr>
                <w:rFonts w:eastAsia="Times New Roman" w:cstheme="minorHAnsi"/>
                <w:color w:val="000000"/>
                <w:sz w:val="24"/>
                <w:szCs w:val="24"/>
              </w:rPr>
            </w:pPr>
            <w:r w:rsidRPr="00AF391B">
              <w:rPr>
                <w:rFonts w:eastAsia="Times New Roman" w:cstheme="minorHAnsi"/>
                <w:color w:val="000000"/>
                <w:sz w:val="24"/>
                <w:szCs w:val="24"/>
              </w:rPr>
              <w:t>Final energy consumption, ktoe</w:t>
            </w:r>
          </w:p>
        </w:tc>
        <w:tc>
          <w:tcPr>
            <w:tcW w:w="925" w:type="pct"/>
            <w:shd w:val="clear" w:color="000000" w:fill="4F81BD"/>
            <w:noWrap/>
            <w:vAlign w:val="center"/>
            <w:hideMark/>
          </w:tcPr>
          <w:p w14:paraId="194E5130" w14:textId="77777777" w:rsidR="003D6288" w:rsidRPr="00AF391B" w:rsidRDefault="003D6288" w:rsidP="00AB0FEE">
            <w:pPr>
              <w:spacing w:after="0" w:line="240" w:lineRule="auto"/>
              <w:jc w:val="center"/>
              <w:rPr>
                <w:rFonts w:eastAsia="Times New Roman" w:cstheme="minorHAnsi"/>
                <w:b/>
                <w:bCs/>
                <w:color w:val="FFFFFF"/>
                <w:sz w:val="24"/>
                <w:szCs w:val="24"/>
              </w:rPr>
            </w:pPr>
            <w:r w:rsidRPr="00AF391B">
              <w:rPr>
                <w:rFonts w:eastAsia="Times New Roman" w:cstheme="minorHAnsi"/>
                <w:b/>
                <w:bCs/>
                <w:color w:val="FFFFFF"/>
                <w:sz w:val="24"/>
                <w:szCs w:val="24"/>
              </w:rPr>
              <w:t>2020</w:t>
            </w:r>
          </w:p>
        </w:tc>
        <w:tc>
          <w:tcPr>
            <w:tcW w:w="458" w:type="pct"/>
            <w:shd w:val="clear" w:color="000000" w:fill="4F81BD"/>
            <w:noWrap/>
            <w:vAlign w:val="center"/>
            <w:hideMark/>
          </w:tcPr>
          <w:p w14:paraId="6C8D5E33" w14:textId="77777777" w:rsidR="003D6288" w:rsidRPr="00AF391B" w:rsidRDefault="003D6288" w:rsidP="00AB0FEE">
            <w:pPr>
              <w:spacing w:after="0" w:line="240" w:lineRule="auto"/>
              <w:jc w:val="center"/>
              <w:rPr>
                <w:rFonts w:eastAsia="Times New Roman" w:cstheme="minorHAnsi"/>
                <w:b/>
                <w:bCs/>
                <w:color w:val="FFFFFF"/>
                <w:sz w:val="24"/>
                <w:szCs w:val="24"/>
              </w:rPr>
            </w:pPr>
            <w:r w:rsidRPr="00AF391B">
              <w:rPr>
                <w:rFonts w:eastAsia="Times New Roman" w:cstheme="minorHAnsi"/>
                <w:b/>
                <w:bCs/>
                <w:color w:val="FFFFFF"/>
                <w:sz w:val="24"/>
                <w:szCs w:val="24"/>
              </w:rPr>
              <w:t>2025</w:t>
            </w:r>
          </w:p>
        </w:tc>
        <w:tc>
          <w:tcPr>
            <w:tcW w:w="458" w:type="pct"/>
            <w:shd w:val="clear" w:color="000000" w:fill="4F81BD"/>
            <w:noWrap/>
            <w:vAlign w:val="center"/>
            <w:hideMark/>
          </w:tcPr>
          <w:p w14:paraId="0663BA79" w14:textId="77777777" w:rsidR="003D6288" w:rsidRPr="00AF391B" w:rsidRDefault="003D6288" w:rsidP="00AB0FEE">
            <w:pPr>
              <w:spacing w:after="0" w:line="240" w:lineRule="auto"/>
              <w:jc w:val="center"/>
              <w:rPr>
                <w:rFonts w:eastAsia="Times New Roman" w:cstheme="minorHAnsi"/>
                <w:b/>
                <w:bCs/>
                <w:color w:val="FFFFFF"/>
                <w:sz w:val="24"/>
                <w:szCs w:val="24"/>
              </w:rPr>
            </w:pPr>
            <w:r w:rsidRPr="00AF391B">
              <w:rPr>
                <w:rFonts w:eastAsia="Times New Roman" w:cstheme="minorHAnsi"/>
                <w:b/>
                <w:bCs/>
                <w:color w:val="FFFFFF"/>
                <w:sz w:val="24"/>
                <w:szCs w:val="24"/>
              </w:rPr>
              <w:t>2030</w:t>
            </w:r>
          </w:p>
        </w:tc>
        <w:tc>
          <w:tcPr>
            <w:tcW w:w="458" w:type="pct"/>
            <w:shd w:val="clear" w:color="000000" w:fill="4F81BD"/>
            <w:noWrap/>
            <w:vAlign w:val="center"/>
            <w:hideMark/>
          </w:tcPr>
          <w:p w14:paraId="3AF575D2" w14:textId="77777777" w:rsidR="003D6288" w:rsidRPr="00AF391B" w:rsidRDefault="003D6288" w:rsidP="00AB0FEE">
            <w:pPr>
              <w:spacing w:after="0" w:line="240" w:lineRule="auto"/>
              <w:jc w:val="center"/>
              <w:rPr>
                <w:rFonts w:eastAsia="Times New Roman" w:cstheme="minorHAnsi"/>
                <w:b/>
                <w:bCs/>
                <w:color w:val="FFFFFF"/>
                <w:sz w:val="24"/>
                <w:szCs w:val="24"/>
              </w:rPr>
            </w:pPr>
            <w:r w:rsidRPr="00AF391B">
              <w:rPr>
                <w:rFonts w:eastAsia="Times New Roman" w:cstheme="minorHAnsi"/>
                <w:b/>
                <w:bCs/>
                <w:color w:val="FFFFFF"/>
                <w:sz w:val="24"/>
                <w:szCs w:val="24"/>
              </w:rPr>
              <w:t>2035</w:t>
            </w:r>
          </w:p>
        </w:tc>
        <w:tc>
          <w:tcPr>
            <w:tcW w:w="458" w:type="pct"/>
            <w:shd w:val="clear" w:color="000000" w:fill="4F81BD"/>
            <w:noWrap/>
            <w:vAlign w:val="center"/>
            <w:hideMark/>
          </w:tcPr>
          <w:p w14:paraId="75B5C62A" w14:textId="77777777" w:rsidR="003D6288" w:rsidRPr="00AF391B" w:rsidRDefault="003D6288" w:rsidP="00AB0FEE">
            <w:pPr>
              <w:spacing w:after="0" w:line="240" w:lineRule="auto"/>
              <w:jc w:val="center"/>
              <w:rPr>
                <w:rFonts w:eastAsia="Times New Roman" w:cstheme="minorHAnsi"/>
                <w:b/>
                <w:bCs/>
                <w:color w:val="FFFFFF"/>
                <w:sz w:val="24"/>
                <w:szCs w:val="24"/>
              </w:rPr>
            </w:pPr>
            <w:r w:rsidRPr="00AF391B">
              <w:rPr>
                <w:rFonts w:eastAsia="Times New Roman" w:cstheme="minorHAnsi"/>
                <w:b/>
                <w:bCs/>
                <w:color w:val="FFFFFF"/>
                <w:sz w:val="24"/>
                <w:szCs w:val="24"/>
              </w:rPr>
              <w:t>2040</w:t>
            </w:r>
          </w:p>
        </w:tc>
        <w:tc>
          <w:tcPr>
            <w:tcW w:w="458" w:type="pct"/>
            <w:shd w:val="clear" w:color="000000" w:fill="4F81BD"/>
            <w:noWrap/>
            <w:vAlign w:val="center"/>
            <w:hideMark/>
          </w:tcPr>
          <w:p w14:paraId="59802108" w14:textId="77777777" w:rsidR="003D6288" w:rsidRPr="00AF391B" w:rsidRDefault="003D6288" w:rsidP="00AB0FEE">
            <w:pPr>
              <w:spacing w:after="0" w:line="240" w:lineRule="auto"/>
              <w:jc w:val="center"/>
              <w:rPr>
                <w:rFonts w:eastAsia="Times New Roman" w:cstheme="minorHAnsi"/>
                <w:b/>
                <w:bCs/>
                <w:color w:val="FFFFFF"/>
                <w:sz w:val="24"/>
                <w:szCs w:val="24"/>
              </w:rPr>
            </w:pPr>
            <w:r w:rsidRPr="00AF391B">
              <w:rPr>
                <w:rFonts w:eastAsia="Times New Roman" w:cstheme="minorHAnsi"/>
                <w:b/>
                <w:bCs/>
                <w:color w:val="FFFFFF"/>
                <w:sz w:val="24"/>
                <w:szCs w:val="24"/>
              </w:rPr>
              <w:t>2045</w:t>
            </w:r>
          </w:p>
        </w:tc>
        <w:tc>
          <w:tcPr>
            <w:tcW w:w="458" w:type="pct"/>
            <w:shd w:val="clear" w:color="000000" w:fill="4F81BD"/>
            <w:noWrap/>
            <w:vAlign w:val="center"/>
            <w:hideMark/>
          </w:tcPr>
          <w:p w14:paraId="23801FC7" w14:textId="77777777" w:rsidR="003D6288" w:rsidRPr="00AF391B" w:rsidRDefault="003D6288" w:rsidP="00AB0FEE">
            <w:pPr>
              <w:spacing w:after="0" w:line="240" w:lineRule="auto"/>
              <w:jc w:val="center"/>
              <w:rPr>
                <w:rFonts w:eastAsia="Times New Roman" w:cstheme="minorHAnsi"/>
                <w:b/>
                <w:bCs/>
                <w:color w:val="FFFFFF"/>
                <w:sz w:val="24"/>
                <w:szCs w:val="24"/>
              </w:rPr>
            </w:pPr>
            <w:r w:rsidRPr="00AF391B">
              <w:rPr>
                <w:rFonts w:eastAsia="Times New Roman" w:cstheme="minorHAnsi"/>
                <w:b/>
                <w:bCs/>
                <w:color w:val="FFFFFF"/>
                <w:sz w:val="24"/>
                <w:szCs w:val="24"/>
              </w:rPr>
              <w:t>2050</w:t>
            </w:r>
          </w:p>
        </w:tc>
      </w:tr>
      <w:tr w:rsidR="003D6288" w:rsidRPr="00AF391B" w14:paraId="4CCAAEDA" w14:textId="77777777" w:rsidTr="00F91E6F">
        <w:trPr>
          <w:trHeight w:val="300"/>
        </w:trPr>
        <w:tc>
          <w:tcPr>
            <w:tcW w:w="1327" w:type="pct"/>
            <w:shd w:val="clear" w:color="auto" w:fill="auto"/>
            <w:noWrap/>
            <w:vAlign w:val="bottom"/>
            <w:hideMark/>
          </w:tcPr>
          <w:p w14:paraId="61ECD2B1" w14:textId="77777777" w:rsidR="003D6288" w:rsidRPr="00AF391B" w:rsidRDefault="003D6288" w:rsidP="00AB0FEE">
            <w:pPr>
              <w:spacing w:after="0" w:line="240" w:lineRule="auto"/>
              <w:rPr>
                <w:rFonts w:eastAsia="Times New Roman" w:cstheme="minorHAnsi"/>
                <w:color w:val="000000"/>
                <w:sz w:val="24"/>
                <w:szCs w:val="24"/>
              </w:rPr>
            </w:pPr>
            <w:r w:rsidRPr="00AF391B">
              <w:rPr>
                <w:rFonts w:eastAsia="Times New Roman" w:cstheme="minorHAnsi"/>
                <w:color w:val="000000"/>
                <w:sz w:val="24"/>
                <w:szCs w:val="24"/>
              </w:rPr>
              <w:t>WEM</w:t>
            </w:r>
          </w:p>
        </w:tc>
        <w:tc>
          <w:tcPr>
            <w:tcW w:w="925" w:type="pct"/>
            <w:shd w:val="clear" w:color="auto" w:fill="D0CECE" w:themeFill="background2" w:themeFillShade="E6"/>
            <w:noWrap/>
            <w:vAlign w:val="bottom"/>
            <w:hideMark/>
          </w:tcPr>
          <w:p w14:paraId="555BBFF1"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 xml:space="preserve">  2,521.95 </w:t>
            </w:r>
          </w:p>
        </w:tc>
        <w:tc>
          <w:tcPr>
            <w:tcW w:w="458" w:type="pct"/>
            <w:shd w:val="clear" w:color="auto" w:fill="D0CECE" w:themeFill="background2" w:themeFillShade="E6"/>
            <w:noWrap/>
            <w:vAlign w:val="bottom"/>
            <w:hideMark/>
          </w:tcPr>
          <w:p w14:paraId="3BDF731E"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 xml:space="preserve">  2,644.26 </w:t>
            </w:r>
          </w:p>
        </w:tc>
        <w:tc>
          <w:tcPr>
            <w:tcW w:w="458" w:type="pct"/>
            <w:shd w:val="clear" w:color="auto" w:fill="D0CECE" w:themeFill="background2" w:themeFillShade="E6"/>
            <w:noWrap/>
            <w:vAlign w:val="bottom"/>
            <w:hideMark/>
          </w:tcPr>
          <w:p w14:paraId="06501554"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 xml:space="preserve">  2,701.32 </w:t>
            </w:r>
          </w:p>
        </w:tc>
        <w:tc>
          <w:tcPr>
            <w:tcW w:w="458" w:type="pct"/>
            <w:shd w:val="clear" w:color="auto" w:fill="auto"/>
            <w:noWrap/>
            <w:vAlign w:val="bottom"/>
            <w:hideMark/>
          </w:tcPr>
          <w:p w14:paraId="494ED94F"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 xml:space="preserve">  2,705.69 </w:t>
            </w:r>
          </w:p>
        </w:tc>
        <w:tc>
          <w:tcPr>
            <w:tcW w:w="458" w:type="pct"/>
            <w:shd w:val="clear" w:color="auto" w:fill="auto"/>
            <w:noWrap/>
            <w:vAlign w:val="bottom"/>
            <w:hideMark/>
          </w:tcPr>
          <w:p w14:paraId="70F38277"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 xml:space="preserve">  2,682.11 </w:t>
            </w:r>
          </w:p>
        </w:tc>
        <w:tc>
          <w:tcPr>
            <w:tcW w:w="458" w:type="pct"/>
            <w:shd w:val="clear" w:color="auto" w:fill="auto"/>
            <w:noWrap/>
            <w:vAlign w:val="bottom"/>
            <w:hideMark/>
          </w:tcPr>
          <w:p w14:paraId="48E0F61B"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 xml:space="preserve">  2,667.42 </w:t>
            </w:r>
          </w:p>
        </w:tc>
        <w:tc>
          <w:tcPr>
            <w:tcW w:w="458" w:type="pct"/>
            <w:shd w:val="clear" w:color="auto" w:fill="auto"/>
            <w:noWrap/>
            <w:vAlign w:val="bottom"/>
            <w:hideMark/>
          </w:tcPr>
          <w:p w14:paraId="794E52C8"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 xml:space="preserve">  2,615.49 </w:t>
            </w:r>
          </w:p>
        </w:tc>
      </w:tr>
      <w:tr w:rsidR="003D6288" w:rsidRPr="00AF391B" w14:paraId="736E1A11" w14:textId="77777777" w:rsidTr="00F91E6F">
        <w:trPr>
          <w:trHeight w:val="300"/>
        </w:trPr>
        <w:tc>
          <w:tcPr>
            <w:tcW w:w="1327" w:type="pct"/>
            <w:shd w:val="clear" w:color="auto" w:fill="auto"/>
            <w:noWrap/>
            <w:vAlign w:val="bottom"/>
            <w:hideMark/>
          </w:tcPr>
          <w:p w14:paraId="16A2C620"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WPM</w:t>
            </w:r>
          </w:p>
        </w:tc>
        <w:tc>
          <w:tcPr>
            <w:tcW w:w="925" w:type="pct"/>
            <w:shd w:val="clear" w:color="auto" w:fill="D0CECE" w:themeFill="background2" w:themeFillShade="E6"/>
            <w:noWrap/>
            <w:vAlign w:val="bottom"/>
            <w:hideMark/>
          </w:tcPr>
          <w:p w14:paraId="7D9786CC"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 xml:space="preserve">  2,518.39 </w:t>
            </w:r>
          </w:p>
        </w:tc>
        <w:tc>
          <w:tcPr>
            <w:tcW w:w="458" w:type="pct"/>
            <w:shd w:val="clear" w:color="auto" w:fill="D0CECE" w:themeFill="background2" w:themeFillShade="E6"/>
            <w:noWrap/>
            <w:vAlign w:val="bottom"/>
            <w:hideMark/>
          </w:tcPr>
          <w:p w14:paraId="391B43C2"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 xml:space="preserve">  2,602.61 </w:t>
            </w:r>
          </w:p>
        </w:tc>
        <w:tc>
          <w:tcPr>
            <w:tcW w:w="458" w:type="pct"/>
            <w:shd w:val="clear" w:color="auto" w:fill="D0CECE" w:themeFill="background2" w:themeFillShade="E6"/>
            <w:noWrap/>
            <w:vAlign w:val="bottom"/>
            <w:hideMark/>
          </w:tcPr>
          <w:p w14:paraId="660348DC"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 xml:space="preserve">  2,554.16 </w:t>
            </w:r>
          </w:p>
        </w:tc>
        <w:tc>
          <w:tcPr>
            <w:tcW w:w="458" w:type="pct"/>
            <w:shd w:val="clear" w:color="auto" w:fill="auto"/>
            <w:noWrap/>
            <w:vAlign w:val="bottom"/>
            <w:hideMark/>
          </w:tcPr>
          <w:p w14:paraId="270F0288"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 xml:space="preserve">  2,414.45 </w:t>
            </w:r>
          </w:p>
        </w:tc>
        <w:tc>
          <w:tcPr>
            <w:tcW w:w="458" w:type="pct"/>
            <w:shd w:val="clear" w:color="auto" w:fill="auto"/>
            <w:noWrap/>
            <w:vAlign w:val="bottom"/>
            <w:hideMark/>
          </w:tcPr>
          <w:p w14:paraId="05E0D062"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 xml:space="preserve">  2,204.08 </w:t>
            </w:r>
          </w:p>
        </w:tc>
        <w:tc>
          <w:tcPr>
            <w:tcW w:w="458" w:type="pct"/>
            <w:shd w:val="clear" w:color="auto" w:fill="auto"/>
            <w:noWrap/>
            <w:vAlign w:val="bottom"/>
            <w:hideMark/>
          </w:tcPr>
          <w:p w14:paraId="1CA70330"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 xml:space="preserve">  2,113.28 </w:t>
            </w:r>
          </w:p>
        </w:tc>
        <w:tc>
          <w:tcPr>
            <w:tcW w:w="458" w:type="pct"/>
            <w:shd w:val="clear" w:color="auto" w:fill="auto"/>
            <w:noWrap/>
            <w:vAlign w:val="bottom"/>
            <w:hideMark/>
          </w:tcPr>
          <w:p w14:paraId="4E321C22"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 xml:space="preserve">  2,083.42 </w:t>
            </w:r>
          </w:p>
        </w:tc>
      </w:tr>
      <w:tr w:rsidR="003D6288" w:rsidRPr="00AF391B" w14:paraId="0E02AE70" w14:textId="77777777" w:rsidTr="00F91E6F">
        <w:trPr>
          <w:trHeight w:val="70"/>
        </w:trPr>
        <w:tc>
          <w:tcPr>
            <w:tcW w:w="5000" w:type="pct"/>
            <w:gridSpan w:val="8"/>
            <w:shd w:val="clear" w:color="auto" w:fill="auto"/>
            <w:noWrap/>
            <w:vAlign w:val="bottom"/>
          </w:tcPr>
          <w:p w14:paraId="61EAF695" w14:textId="77777777" w:rsidR="003D6288" w:rsidRPr="00AF391B" w:rsidRDefault="003D6288" w:rsidP="00AB0FEE">
            <w:pPr>
              <w:spacing w:after="0" w:line="240" w:lineRule="auto"/>
              <w:jc w:val="center"/>
              <w:rPr>
                <w:rFonts w:eastAsia="Times New Roman" w:cstheme="minorHAnsi"/>
                <w:sz w:val="24"/>
                <w:szCs w:val="24"/>
              </w:rPr>
            </w:pPr>
          </w:p>
        </w:tc>
      </w:tr>
      <w:tr w:rsidR="003D6288" w:rsidRPr="00AF391B" w14:paraId="2D135776" w14:textId="77777777" w:rsidTr="00F91E6F">
        <w:trPr>
          <w:trHeight w:val="300"/>
        </w:trPr>
        <w:tc>
          <w:tcPr>
            <w:tcW w:w="1327" w:type="pct"/>
            <w:shd w:val="clear" w:color="auto" w:fill="BDD6EE" w:themeFill="accent1" w:themeFillTint="66"/>
            <w:noWrap/>
            <w:vAlign w:val="bottom"/>
          </w:tcPr>
          <w:p w14:paraId="17EABF47" w14:textId="77777777" w:rsidR="003D6288" w:rsidRPr="00AF391B" w:rsidRDefault="003D6288" w:rsidP="00AB0FEE">
            <w:pPr>
              <w:spacing w:after="0" w:line="240" w:lineRule="auto"/>
              <w:rPr>
                <w:rFonts w:eastAsia="Times New Roman" w:cstheme="minorHAnsi"/>
                <w:color w:val="000000"/>
                <w:sz w:val="24"/>
                <w:szCs w:val="24"/>
              </w:rPr>
            </w:pPr>
            <w:r w:rsidRPr="00AF391B">
              <w:rPr>
                <w:rFonts w:eastAsia="Times New Roman" w:cstheme="minorHAnsi"/>
                <w:color w:val="000000"/>
                <w:sz w:val="24"/>
                <w:szCs w:val="24"/>
              </w:rPr>
              <w:t>Primary energy supply, ktoe</w:t>
            </w:r>
          </w:p>
        </w:tc>
        <w:tc>
          <w:tcPr>
            <w:tcW w:w="925" w:type="pct"/>
            <w:shd w:val="clear" w:color="auto" w:fill="00B0F0"/>
            <w:noWrap/>
            <w:vAlign w:val="center"/>
          </w:tcPr>
          <w:p w14:paraId="23B8D04D"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2020</w:t>
            </w:r>
          </w:p>
        </w:tc>
        <w:tc>
          <w:tcPr>
            <w:tcW w:w="458" w:type="pct"/>
            <w:shd w:val="clear" w:color="auto" w:fill="00B0F0"/>
            <w:noWrap/>
            <w:vAlign w:val="center"/>
          </w:tcPr>
          <w:p w14:paraId="041BD4B8"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2025</w:t>
            </w:r>
          </w:p>
        </w:tc>
        <w:tc>
          <w:tcPr>
            <w:tcW w:w="458" w:type="pct"/>
            <w:shd w:val="clear" w:color="auto" w:fill="00B0F0"/>
            <w:noWrap/>
            <w:vAlign w:val="center"/>
          </w:tcPr>
          <w:p w14:paraId="3ABC59E8"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2030</w:t>
            </w:r>
          </w:p>
        </w:tc>
        <w:tc>
          <w:tcPr>
            <w:tcW w:w="458" w:type="pct"/>
            <w:shd w:val="clear" w:color="auto" w:fill="00B0F0"/>
            <w:noWrap/>
            <w:vAlign w:val="center"/>
          </w:tcPr>
          <w:p w14:paraId="66D1E28F"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2035</w:t>
            </w:r>
          </w:p>
        </w:tc>
        <w:tc>
          <w:tcPr>
            <w:tcW w:w="458" w:type="pct"/>
            <w:shd w:val="clear" w:color="auto" w:fill="00B0F0"/>
            <w:noWrap/>
            <w:vAlign w:val="center"/>
          </w:tcPr>
          <w:p w14:paraId="1CED7A84"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2040</w:t>
            </w:r>
          </w:p>
        </w:tc>
        <w:tc>
          <w:tcPr>
            <w:tcW w:w="458" w:type="pct"/>
            <w:shd w:val="clear" w:color="auto" w:fill="00B0F0"/>
            <w:noWrap/>
            <w:vAlign w:val="center"/>
          </w:tcPr>
          <w:p w14:paraId="5D81E960"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2045</w:t>
            </w:r>
          </w:p>
        </w:tc>
        <w:tc>
          <w:tcPr>
            <w:tcW w:w="458" w:type="pct"/>
            <w:shd w:val="clear" w:color="auto" w:fill="00B0F0"/>
            <w:noWrap/>
            <w:vAlign w:val="center"/>
          </w:tcPr>
          <w:p w14:paraId="5BE2F665"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2050</w:t>
            </w:r>
          </w:p>
        </w:tc>
      </w:tr>
      <w:tr w:rsidR="003D6288" w:rsidRPr="00AF391B" w14:paraId="0542D9CC" w14:textId="77777777" w:rsidTr="00F91E6F">
        <w:trPr>
          <w:trHeight w:val="300"/>
        </w:trPr>
        <w:tc>
          <w:tcPr>
            <w:tcW w:w="1327" w:type="pct"/>
            <w:shd w:val="clear" w:color="auto" w:fill="auto"/>
            <w:noWrap/>
            <w:vAlign w:val="bottom"/>
          </w:tcPr>
          <w:p w14:paraId="5A0F0A61" w14:textId="77777777" w:rsidR="003D6288" w:rsidRPr="00AF391B" w:rsidRDefault="003D6288" w:rsidP="00AB0FEE">
            <w:pPr>
              <w:spacing w:after="0" w:line="240" w:lineRule="auto"/>
              <w:rPr>
                <w:rFonts w:eastAsia="Times New Roman" w:cstheme="minorHAnsi"/>
                <w:color w:val="000000"/>
                <w:sz w:val="24"/>
                <w:szCs w:val="24"/>
              </w:rPr>
            </w:pPr>
            <w:r w:rsidRPr="00AF391B">
              <w:rPr>
                <w:rFonts w:eastAsia="Times New Roman" w:cstheme="minorHAnsi"/>
                <w:color w:val="000000"/>
                <w:sz w:val="24"/>
                <w:szCs w:val="24"/>
              </w:rPr>
              <w:t>WEM</w:t>
            </w:r>
          </w:p>
        </w:tc>
        <w:tc>
          <w:tcPr>
            <w:tcW w:w="925" w:type="pct"/>
            <w:shd w:val="clear" w:color="auto" w:fill="D0CECE" w:themeFill="background2" w:themeFillShade="E6"/>
            <w:noWrap/>
            <w:vAlign w:val="center"/>
          </w:tcPr>
          <w:p w14:paraId="0E0E1424"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2866</w:t>
            </w:r>
          </w:p>
        </w:tc>
        <w:tc>
          <w:tcPr>
            <w:tcW w:w="458" w:type="pct"/>
            <w:shd w:val="clear" w:color="auto" w:fill="D0CECE" w:themeFill="background2" w:themeFillShade="E6"/>
            <w:noWrap/>
            <w:vAlign w:val="center"/>
          </w:tcPr>
          <w:p w14:paraId="4D2767F1"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2965</w:t>
            </w:r>
          </w:p>
        </w:tc>
        <w:tc>
          <w:tcPr>
            <w:tcW w:w="458" w:type="pct"/>
            <w:shd w:val="clear" w:color="auto" w:fill="D0CECE" w:themeFill="background2" w:themeFillShade="E6"/>
            <w:noWrap/>
            <w:vAlign w:val="center"/>
          </w:tcPr>
          <w:p w14:paraId="7BCB7199"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2998</w:t>
            </w:r>
          </w:p>
        </w:tc>
        <w:tc>
          <w:tcPr>
            <w:tcW w:w="458" w:type="pct"/>
            <w:shd w:val="clear" w:color="auto" w:fill="auto"/>
            <w:noWrap/>
            <w:vAlign w:val="center"/>
          </w:tcPr>
          <w:p w14:paraId="46D1EDBF"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3020</w:t>
            </w:r>
          </w:p>
        </w:tc>
        <w:tc>
          <w:tcPr>
            <w:tcW w:w="458" w:type="pct"/>
            <w:shd w:val="clear" w:color="auto" w:fill="auto"/>
            <w:noWrap/>
            <w:vAlign w:val="center"/>
          </w:tcPr>
          <w:p w14:paraId="7E9A9944"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3006</w:t>
            </w:r>
          </w:p>
        </w:tc>
        <w:tc>
          <w:tcPr>
            <w:tcW w:w="458" w:type="pct"/>
            <w:shd w:val="clear" w:color="auto" w:fill="auto"/>
            <w:noWrap/>
            <w:vAlign w:val="center"/>
          </w:tcPr>
          <w:p w14:paraId="0BF6C097"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3004</w:t>
            </w:r>
          </w:p>
        </w:tc>
        <w:tc>
          <w:tcPr>
            <w:tcW w:w="458" w:type="pct"/>
            <w:shd w:val="clear" w:color="auto" w:fill="auto"/>
            <w:noWrap/>
            <w:vAlign w:val="center"/>
          </w:tcPr>
          <w:p w14:paraId="14471023"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2976</w:t>
            </w:r>
          </w:p>
        </w:tc>
      </w:tr>
      <w:tr w:rsidR="003D6288" w:rsidRPr="00AF391B" w14:paraId="60EFC761" w14:textId="77777777" w:rsidTr="00F91E6F">
        <w:trPr>
          <w:trHeight w:val="300"/>
        </w:trPr>
        <w:tc>
          <w:tcPr>
            <w:tcW w:w="1327" w:type="pct"/>
            <w:shd w:val="clear" w:color="auto" w:fill="auto"/>
            <w:noWrap/>
            <w:vAlign w:val="bottom"/>
          </w:tcPr>
          <w:p w14:paraId="70AA1ABB"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WPM</w:t>
            </w:r>
          </w:p>
        </w:tc>
        <w:tc>
          <w:tcPr>
            <w:tcW w:w="925" w:type="pct"/>
            <w:shd w:val="clear" w:color="auto" w:fill="D0CECE" w:themeFill="background2" w:themeFillShade="E6"/>
            <w:noWrap/>
            <w:vAlign w:val="center"/>
          </w:tcPr>
          <w:p w14:paraId="48D07DE8"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2863</w:t>
            </w:r>
          </w:p>
        </w:tc>
        <w:tc>
          <w:tcPr>
            <w:tcW w:w="458" w:type="pct"/>
            <w:shd w:val="clear" w:color="auto" w:fill="D0CECE" w:themeFill="background2" w:themeFillShade="E6"/>
            <w:noWrap/>
            <w:vAlign w:val="center"/>
          </w:tcPr>
          <w:p w14:paraId="017AFE6F"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2905</w:t>
            </w:r>
          </w:p>
        </w:tc>
        <w:tc>
          <w:tcPr>
            <w:tcW w:w="458" w:type="pct"/>
            <w:shd w:val="clear" w:color="auto" w:fill="D0CECE" w:themeFill="background2" w:themeFillShade="E6"/>
            <w:noWrap/>
            <w:vAlign w:val="center"/>
          </w:tcPr>
          <w:p w14:paraId="667F90EF"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2820</w:t>
            </w:r>
          </w:p>
        </w:tc>
        <w:tc>
          <w:tcPr>
            <w:tcW w:w="458" w:type="pct"/>
            <w:shd w:val="clear" w:color="auto" w:fill="auto"/>
            <w:noWrap/>
            <w:vAlign w:val="center"/>
          </w:tcPr>
          <w:p w14:paraId="46E80BE6"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2698</w:t>
            </w:r>
          </w:p>
        </w:tc>
        <w:tc>
          <w:tcPr>
            <w:tcW w:w="458" w:type="pct"/>
            <w:shd w:val="clear" w:color="auto" w:fill="auto"/>
            <w:noWrap/>
            <w:vAlign w:val="center"/>
          </w:tcPr>
          <w:p w14:paraId="4F1D4B26"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2530</w:t>
            </w:r>
          </w:p>
        </w:tc>
        <w:tc>
          <w:tcPr>
            <w:tcW w:w="458" w:type="pct"/>
            <w:shd w:val="clear" w:color="auto" w:fill="auto"/>
            <w:noWrap/>
            <w:vAlign w:val="center"/>
          </w:tcPr>
          <w:p w14:paraId="31D8CD6B"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2523</w:t>
            </w:r>
          </w:p>
        </w:tc>
        <w:tc>
          <w:tcPr>
            <w:tcW w:w="458" w:type="pct"/>
            <w:shd w:val="clear" w:color="auto" w:fill="auto"/>
            <w:noWrap/>
            <w:vAlign w:val="center"/>
          </w:tcPr>
          <w:p w14:paraId="654D48D4"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2501</w:t>
            </w:r>
          </w:p>
        </w:tc>
      </w:tr>
      <w:tr w:rsidR="003D6288" w:rsidRPr="00AF391B" w14:paraId="2039430F" w14:textId="77777777" w:rsidTr="00F91E6F">
        <w:trPr>
          <w:trHeight w:val="162"/>
        </w:trPr>
        <w:tc>
          <w:tcPr>
            <w:tcW w:w="5000" w:type="pct"/>
            <w:gridSpan w:val="8"/>
            <w:shd w:val="clear" w:color="auto" w:fill="auto"/>
            <w:noWrap/>
            <w:vAlign w:val="bottom"/>
          </w:tcPr>
          <w:p w14:paraId="69C0B053" w14:textId="77777777" w:rsidR="003D6288" w:rsidRPr="00AF391B" w:rsidRDefault="003D6288" w:rsidP="00AB0FEE">
            <w:pPr>
              <w:spacing w:after="0" w:line="240" w:lineRule="auto"/>
              <w:jc w:val="center"/>
              <w:rPr>
                <w:rFonts w:eastAsia="Times New Roman" w:cstheme="minorHAnsi"/>
                <w:sz w:val="24"/>
                <w:szCs w:val="24"/>
              </w:rPr>
            </w:pPr>
          </w:p>
        </w:tc>
      </w:tr>
      <w:tr w:rsidR="003D6288" w:rsidRPr="00AF391B" w14:paraId="61CC1B39" w14:textId="77777777" w:rsidTr="00F91E6F">
        <w:trPr>
          <w:trHeight w:val="300"/>
        </w:trPr>
        <w:tc>
          <w:tcPr>
            <w:tcW w:w="1327" w:type="pct"/>
            <w:shd w:val="clear" w:color="auto" w:fill="BDD6EE" w:themeFill="accent1" w:themeFillTint="66"/>
            <w:noWrap/>
            <w:vAlign w:val="bottom"/>
          </w:tcPr>
          <w:p w14:paraId="4FCE674C" w14:textId="77777777" w:rsidR="003D6288" w:rsidRPr="00AF391B" w:rsidRDefault="003D6288" w:rsidP="00F91E6F">
            <w:pPr>
              <w:spacing w:after="0" w:line="240" w:lineRule="auto"/>
              <w:rPr>
                <w:rFonts w:eastAsia="Times New Roman" w:cstheme="minorHAnsi"/>
                <w:b/>
                <w:color w:val="000000"/>
                <w:sz w:val="24"/>
                <w:szCs w:val="24"/>
              </w:rPr>
            </w:pPr>
            <w:r w:rsidRPr="00AF391B">
              <w:rPr>
                <w:rFonts w:eastAsia="Times New Roman" w:cstheme="minorHAnsi"/>
                <w:b/>
                <w:color w:val="000000"/>
                <w:sz w:val="24"/>
                <w:szCs w:val="24"/>
              </w:rPr>
              <w:t>GHG Emissions, ktCO</w:t>
            </w:r>
            <w:r w:rsidRPr="00AF391B">
              <w:rPr>
                <w:rFonts w:eastAsia="Times New Roman" w:cstheme="minorHAnsi"/>
                <w:b/>
                <w:color w:val="000000"/>
                <w:sz w:val="24"/>
                <w:szCs w:val="24"/>
                <w:vertAlign w:val="subscript"/>
              </w:rPr>
              <w:t>2</w:t>
            </w:r>
            <w:r w:rsidRPr="00AF391B">
              <w:rPr>
                <w:rFonts w:eastAsia="Times New Roman" w:cstheme="minorHAnsi"/>
                <w:b/>
                <w:color w:val="000000"/>
                <w:sz w:val="24"/>
                <w:szCs w:val="24"/>
              </w:rPr>
              <w:t xml:space="preserve"> eq</w:t>
            </w:r>
          </w:p>
        </w:tc>
        <w:tc>
          <w:tcPr>
            <w:tcW w:w="925" w:type="pct"/>
            <w:shd w:val="clear" w:color="auto" w:fill="00B0F0"/>
            <w:noWrap/>
            <w:vAlign w:val="center"/>
          </w:tcPr>
          <w:p w14:paraId="3C5DA813"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2020</w:t>
            </w:r>
          </w:p>
        </w:tc>
        <w:tc>
          <w:tcPr>
            <w:tcW w:w="458" w:type="pct"/>
            <w:shd w:val="clear" w:color="auto" w:fill="00B0F0"/>
            <w:noWrap/>
            <w:vAlign w:val="center"/>
          </w:tcPr>
          <w:p w14:paraId="7005B618"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2025</w:t>
            </w:r>
          </w:p>
        </w:tc>
        <w:tc>
          <w:tcPr>
            <w:tcW w:w="458" w:type="pct"/>
            <w:shd w:val="clear" w:color="auto" w:fill="00B0F0"/>
            <w:noWrap/>
            <w:vAlign w:val="center"/>
          </w:tcPr>
          <w:p w14:paraId="2627A4B7"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2030</w:t>
            </w:r>
          </w:p>
        </w:tc>
        <w:tc>
          <w:tcPr>
            <w:tcW w:w="458" w:type="pct"/>
            <w:shd w:val="clear" w:color="auto" w:fill="00B0F0"/>
            <w:noWrap/>
            <w:vAlign w:val="center"/>
          </w:tcPr>
          <w:p w14:paraId="59E6CCD5"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2035</w:t>
            </w:r>
          </w:p>
        </w:tc>
        <w:tc>
          <w:tcPr>
            <w:tcW w:w="458" w:type="pct"/>
            <w:shd w:val="clear" w:color="auto" w:fill="00B0F0"/>
            <w:noWrap/>
            <w:vAlign w:val="center"/>
          </w:tcPr>
          <w:p w14:paraId="064CE4BE"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2040</w:t>
            </w:r>
          </w:p>
        </w:tc>
        <w:tc>
          <w:tcPr>
            <w:tcW w:w="458" w:type="pct"/>
            <w:shd w:val="clear" w:color="auto" w:fill="00B0F0"/>
            <w:noWrap/>
            <w:vAlign w:val="center"/>
          </w:tcPr>
          <w:p w14:paraId="4EF00CF0"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2045</w:t>
            </w:r>
          </w:p>
        </w:tc>
        <w:tc>
          <w:tcPr>
            <w:tcW w:w="458" w:type="pct"/>
            <w:shd w:val="clear" w:color="auto" w:fill="00B0F0"/>
            <w:noWrap/>
            <w:vAlign w:val="center"/>
          </w:tcPr>
          <w:p w14:paraId="6A2D2AB4"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2050</w:t>
            </w:r>
          </w:p>
        </w:tc>
      </w:tr>
      <w:tr w:rsidR="003D6288" w:rsidRPr="00AF391B" w14:paraId="4739B0E0" w14:textId="77777777" w:rsidTr="00F91E6F">
        <w:trPr>
          <w:trHeight w:val="300"/>
        </w:trPr>
        <w:tc>
          <w:tcPr>
            <w:tcW w:w="1327" w:type="pct"/>
            <w:shd w:val="clear" w:color="auto" w:fill="auto"/>
            <w:noWrap/>
            <w:vAlign w:val="center"/>
          </w:tcPr>
          <w:p w14:paraId="6E3D3FC2"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WEM energy sector</w:t>
            </w:r>
          </w:p>
        </w:tc>
        <w:tc>
          <w:tcPr>
            <w:tcW w:w="925" w:type="pct"/>
            <w:shd w:val="clear" w:color="auto" w:fill="D0CECE" w:themeFill="background2" w:themeFillShade="E6"/>
            <w:noWrap/>
          </w:tcPr>
          <w:p w14:paraId="3EC3DE74"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5,412</w:t>
            </w:r>
          </w:p>
        </w:tc>
        <w:tc>
          <w:tcPr>
            <w:tcW w:w="458" w:type="pct"/>
            <w:shd w:val="clear" w:color="auto" w:fill="D0CECE" w:themeFill="background2" w:themeFillShade="E6"/>
            <w:noWrap/>
          </w:tcPr>
          <w:p w14:paraId="7B39CE0C"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5,116</w:t>
            </w:r>
          </w:p>
        </w:tc>
        <w:tc>
          <w:tcPr>
            <w:tcW w:w="458" w:type="pct"/>
            <w:shd w:val="clear" w:color="auto" w:fill="D0CECE" w:themeFill="background2" w:themeFillShade="E6"/>
            <w:noWrap/>
          </w:tcPr>
          <w:p w14:paraId="73A28E41"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5,185</w:t>
            </w:r>
          </w:p>
        </w:tc>
        <w:tc>
          <w:tcPr>
            <w:tcW w:w="458" w:type="pct"/>
            <w:shd w:val="clear" w:color="auto" w:fill="FFD966" w:themeFill="accent4" w:themeFillTint="99"/>
            <w:noWrap/>
          </w:tcPr>
          <w:p w14:paraId="3E384308"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5,066</w:t>
            </w:r>
          </w:p>
        </w:tc>
        <w:tc>
          <w:tcPr>
            <w:tcW w:w="458" w:type="pct"/>
            <w:shd w:val="clear" w:color="auto" w:fill="FFD966" w:themeFill="accent4" w:themeFillTint="99"/>
            <w:noWrap/>
          </w:tcPr>
          <w:p w14:paraId="0F7067A5"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5,051</w:t>
            </w:r>
          </w:p>
        </w:tc>
        <w:tc>
          <w:tcPr>
            <w:tcW w:w="458" w:type="pct"/>
            <w:shd w:val="clear" w:color="auto" w:fill="FFD966" w:themeFill="accent4" w:themeFillTint="99"/>
            <w:noWrap/>
          </w:tcPr>
          <w:p w14:paraId="6644E155"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5,023</w:t>
            </w:r>
          </w:p>
        </w:tc>
        <w:tc>
          <w:tcPr>
            <w:tcW w:w="458" w:type="pct"/>
            <w:shd w:val="clear" w:color="auto" w:fill="FFD966" w:themeFill="accent4" w:themeFillTint="99"/>
            <w:noWrap/>
          </w:tcPr>
          <w:p w14:paraId="7B856326"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4,933</w:t>
            </w:r>
          </w:p>
        </w:tc>
      </w:tr>
      <w:tr w:rsidR="003D6288" w:rsidRPr="00AF391B" w14:paraId="1BCCE502" w14:textId="77777777" w:rsidTr="00F91E6F">
        <w:trPr>
          <w:trHeight w:val="300"/>
        </w:trPr>
        <w:tc>
          <w:tcPr>
            <w:tcW w:w="1327" w:type="pct"/>
            <w:shd w:val="clear" w:color="auto" w:fill="auto"/>
            <w:noWrap/>
            <w:vAlign w:val="center"/>
          </w:tcPr>
          <w:p w14:paraId="0B4355D3"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WPM energy sector</w:t>
            </w:r>
          </w:p>
        </w:tc>
        <w:tc>
          <w:tcPr>
            <w:tcW w:w="925" w:type="pct"/>
            <w:shd w:val="clear" w:color="auto" w:fill="D0CECE" w:themeFill="background2" w:themeFillShade="E6"/>
            <w:noWrap/>
          </w:tcPr>
          <w:p w14:paraId="314027F7"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5,412</w:t>
            </w:r>
          </w:p>
        </w:tc>
        <w:tc>
          <w:tcPr>
            <w:tcW w:w="458" w:type="pct"/>
            <w:shd w:val="clear" w:color="auto" w:fill="D0CECE" w:themeFill="background2" w:themeFillShade="E6"/>
            <w:noWrap/>
          </w:tcPr>
          <w:p w14:paraId="0549FDEF"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5,156</w:t>
            </w:r>
          </w:p>
        </w:tc>
        <w:tc>
          <w:tcPr>
            <w:tcW w:w="458" w:type="pct"/>
            <w:shd w:val="clear" w:color="auto" w:fill="D0CECE" w:themeFill="background2" w:themeFillShade="E6"/>
            <w:noWrap/>
          </w:tcPr>
          <w:p w14:paraId="029F6D14"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4,898</w:t>
            </w:r>
          </w:p>
        </w:tc>
        <w:tc>
          <w:tcPr>
            <w:tcW w:w="458" w:type="pct"/>
            <w:shd w:val="clear" w:color="auto" w:fill="FFF2CC" w:themeFill="accent4" w:themeFillTint="33"/>
            <w:noWrap/>
          </w:tcPr>
          <w:p w14:paraId="39285509"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4,356</w:t>
            </w:r>
          </w:p>
        </w:tc>
        <w:tc>
          <w:tcPr>
            <w:tcW w:w="458" w:type="pct"/>
            <w:shd w:val="clear" w:color="auto" w:fill="FFF2CC" w:themeFill="accent4" w:themeFillTint="33"/>
            <w:noWrap/>
          </w:tcPr>
          <w:p w14:paraId="5B52F9A9"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3,808</w:t>
            </w:r>
          </w:p>
        </w:tc>
        <w:tc>
          <w:tcPr>
            <w:tcW w:w="458" w:type="pct"/>
            <w:shd w:val="clear" w:color="auto" w:fill="FFF2CC" w:themeFill="accent4" w:themeFillTint="33"/>
            <w:noWrap/>
          </w:tcPr>
          <w:p w14:paraId="1940AC80"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3,733</w:t>
            </w:r>
          </w:p>
        </w:tc>
        <w:tc>
          <w:tcPr>
            <w:tcW w:w="458" w:type="pct"/>
            <w:shd w:val="clear" w:color="auto" w:fill="FFF2CC" w:themeFill="accent4" w:themeFillTint="33"/>
            <w:noWrap/>
          </w:tcPr>
          <w:p w14:paraId="612677C0"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3,604</w:t>
            </w:r>
          </w:p>
        </w:tc>
      </w:tr>
      <w:tr w:rsidR="003D6288" w:rsidRPr="00AF391B" w14:paraId="5D456D3A" w14:textId="77777777" w:rsidTr="00F91E6F">
        <w:trPr>
          <w:trHeight w:val="300"/>
        </w:trPr>
        <w:tc>
          <w:tcPr>
            <w:tcW w:w="1327" w:type="pct"/>
            <w:shd w:val="clear" w:color="auto" w:fill="auto"/>
            <w:noWrap/>
            <w:vAlign w:val="bottom"/>
          </w:tcPr>
          <w:p w14:paraId="1E7A328E" w14:textId="77777777" w:rsidR="003D6288" w:rsidRPr="00AF391B" w:rsidRDefault="003D6288" w:rsidP="00AB0FEE">
            <w:pPr>
              <w:spacing w:after="0" w:line="240" w:lineRule="auto"/>
              <w:rPr>
                <w:rFonts w:cstheme="minorHAnsi"/>
                <w:b/>
                <w:color w:val="000000"/>
                <w:sz w:val="24"/>
                <w:szCs w:val="24"/>
              </w:rPr>
            </w:pPr>
            <w:r w:rsidRPr="00AF391B">
              <w:rPr>
                <w:rFonts w:cstheme="minorHAnsi"/>
                <w:color w:val="000000"/>
                <w:sz w:val="24"/>
                <w:szCs w:val="24"/>
              </w:rPr>
              <w:t>WEM non-energy sectors</w:t>
            </w:r>
          </w:p>
        </w:tc>
        <w:tc>
          <w:tcPr>
            <w:tcW w:w="925" w:type="pct"/>
            <w:shd w:val="clear" w:color="auto" w:fill="D0CECE" w:themeFill="background2" w:themeFillShade="E6"/>
            <w:noWrap/>
          </w:tcPr>
          <w:p w14:paraId="50F2273C"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3,342</w:t>
            </w:r>
          </w:p>
        </w:tc>
        <w:tc>
          <w:tcPr>
            <w:tcW w:w="458" w:type="pct"/>
            <w:shd w:val="clear" w:color="auto" w:fill="D0CECE" w:themeFill="background2" w:themeFillShade="E6"/>
            <w:noWrap/>
          </w:tcPr>
          <w:p w14:paraId="74D804BB"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3,609</w:t>
            </w:r>
          </w:p>
        </w:tc>
        <w:tc>
          <w:tcPr>
            <w:tcW w:w="458" w:type="pct"/>
            <w:shd w:val="clear" w:color="auto" w:fill="D0CECE" w:themeFill="background2" w:themeFillShade="E6"/>
            <w:noWrap/>
          </w:tcPr>
          <w:p w14:paraId="1E3A7545"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2,881</w:t>
            </w:r>
          </w:p>
        </w:tc>
        <w:tc>
          <w:tcPr>
            <w:tcW w:w="458" w:type="pct"/>
            <w:shd w:val="clear" w:color="auto" w:fill="auto"/>
            <w:noWrap/>
          </w:tcPr>
          <w:p w14:paraId="43B18AF1"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3,643</w:t>
            </w:r>
          </w:p>
        </w:tc>
        <w:tc>
          <w:tcPr>
            <w:tcW w:w="458" w:type="pct"/>
            <w:shd w:val="clear" w:color="auto" w:fill="auto"/>
            <w:noWrap/>
          </w:tcPr>
          <w:p w14:paraId="0D2C2635"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3,545</w:t>
            </w:r>
          </w:p>
        </w:tc>
        <w:tc>
          <w:tcPr>
            <w:tcW w:w="458" w:type="pct"/>
            <w:shd w:val="clear" w:color="auto" w:fill="auto"/>
            <w:noWrap/>
          </w:tcPr>
          <w:p w14:paraId="71C26CE2"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3,453</w:t>
            </w:r>
          </w:p>
        </w:tc>
        <w:tc>
          <w:tcPr>
            <w:tcW w:w="458" w:type="pct"/>
            <w:shd w:val="clear" w:color="auto" w:fill="auto"/>
            <w:noWrap/>
          </w:tcPr>
          <w:p w14:paraId="4AD80BB1"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3,366</w:t>
            </w:r>
          </w:p>
        </w:tc>
      </w:tr>
      <w:tr w:rsidR="003D6288" w:rsidRPr="00AF391B" w14:paraId="347152A2" w14:textId="77777777" w:rsidTr="00F91E6F">
        <w:trPr>
          <w:trHeight w:val="300"/>
        </w:trPr>
        <w:tc>
          <w:tcPr>
            <w:tcW w:w="1327" w:type="pct"/>
            <w:shd w:val="clear" w:color="auto" w:fill="auto"/>
            <w:noWrap/>
            <w:vAlign w:val="bottom"/>
          </w:tcPr>
          <w:p w14:paraId="4B7C2170" w14:textId="77777777" w:rsidR="003D6288" w:rsidRPr="00AF391B" w:rsidRDefault="003D6288" w:rsidP="00AB0FEE">
            <w:pPr>
              <w:spacing w:after="0" w:line="240" w:lineRule="auto"/>
              <w:rPr>
                <w:rFonts w:cstheme="minorHAnsi"/>
                <w:b/>
                <w:color w:val="000000"/>
                <w:sz w:val="24"/>
                <w:szCs w:val="24"/>
              </w:rPr>
            </w:pPr>
            <w:r w:rsidRPr="00AF391B">
              <w:rPr>
                <w:rFonts w:cstheme="minorHAnsi"/>
                <w:color w:val="000000"/>
                <w:sz w:val="24"/>
                <w:szCs w:val="24"/>
              </w:rPr>
              <w:t>WPM non energy sectors</w:t>
            </w:r>
          </w:p>
        </w:tc>
        <w:tc>
          <w:tcPr>
            <w:tcW w:w="925" w:type="pct"/>
            <w:shd w:val="clear" w:color="auto" w:fill="D0CECE" w:themeFill="background2" w:themeFillShade="E6"/>
            <w:noWrap/>
          </w:tcPr>
          <w:p w14:paraId="741B9795"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3,342</w:t>
            </w:r>
          </w:p>
        </w:tc>
        <w:tc>
          <w:tcPr>
            <w:tcW w:w="458" w:type="pct"/>
            <w:shd w:val="clear" w:color="auto" w:fill="D0CECE" w:themeFill="background2" w:themeFillShade="E6"/>
            <w:noWrap/>
          </w:tcPr>
          <w:p w14:paraId="61931D6C"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2,811</w:t>
            </w:r>
          </w:p>
        </w:tc>
        <w:tc>
          <w:tcPr>
            <w:tcW w:w="458" w:type="pct"/>
            <w:shd w:val="clear" w:color="auto" w:fill="D0CECE" w:themeFill="background2" w:themeFillShade="E6"/>
            <w:noWrap/>
          </w:tcPr>
          <w:p w14:paraId="63DCA075"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2,553</w:t>
            </w:r>
          </w:p>
        </w:tc>
        <w:tc>
          <w:tcPr>
            <w:tcW w:w="458" w:type="pct"/>
            <w:shd w:val="clear" w:color="auto" w:fill="auto"/>
            <w:noWrap/>
          </w:tcPr>
          <w:p w14:paraId="22049BBF"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2,408</w:t>
            </w:r>
          </w:p>
        </w:tc>
        <w:tc>
          <w:tcPr>
            <w:tcW w:w="458" w:type="pct"/>
            <w:shd w:val="clear" w:color="auto" w:fill="auto"/>
            <w:noWrap/>
          </w:tcPr>
          <w:p w14:paraId="25D7AFCD"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2,331</w:t>
            </w:r>
          </w:p>
        </w:tc>
        <w:tc>
          <w:tcPr>
            <w:tcW w:w="458" w:type="pct"/>
            <w:shd w:val="clear" w:color="auto" w:fill="auto"/>
            <w:noWrap/>
          </w:tcPr>
          <w:p w14:paraId="5E8014E7"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2,259</w:t>
            </w:r>
          </w:p>
        </w:tc>
        <w:tc>
          <w:tcPr>
            <w:tcW w:w="458" w:type="pct"/>
            <w:shd w:val="clear" w:color="auto" w:fill="auto"/>
            <w:noWrap/>
          </w:tcPr>
          <w:p w14:paraId="72AEBC0E"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2,193</w:t>
            </w:r>
          </w:p>
        </w:tc>
      </w:tr>
      <w:tr w:rsidR="003D6288" w:rsidRPr="00AF391B" w14:paraId="77CE663D" w14:textId="77777777" w:rsidTr="00F91E6F">
        <w:trPr>
          <w:trHeight w:val="300"/>
        </w:trPr>
        <w:tc>
          <w:tcPr>
            <w:tcW w:w="1327" w:type="pct"/>
            <w:shd w:val="clear" w:color="auto" w:fill="auto"/>
            <w:noWrap/>
            <w:vAlign w:val="bottom"/>
          </w:tcPr>
          <w:p w14:paraId="7A7BD9E7"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WEM LULUCF_sector</w:t>
            </w:r>
          </w:p>
        </w:tc>
        <w:tc>
          <w:tcPr>
            <w:tcW w:w="925" w:type="pct"/>
            <w:shd w:val="clear" w:color="auto" w:fill="D0CECE" w:themeFill="background2" w:themeFillShade="E6"/>
            <w:noWrap/>
          </w:tcPr>
          <w:p w14:paraId="7C6376F0"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-122</w:t>
            </w:r>
          </w:p>
        </w:tc>
        <w:tc>
          <w:tcPr>
            <w:tcW w:w="458" w:type="pct"/>
            <w:shd w:val="clear" w:color="auto" w:fill="D0CECE" w:themeFill="background2" w:themeFillShade="E6"/>
            <w:noWrap/>
          </w:tcPr>
          <w:p w14:paraId="0ED6D77E"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-920</w:t>
            </w:r>
          </w:p>
        </w:tc>
        <w:tc>
          <w:tcPr>
            <w:tcW w:w="458" w:type="pct"/>
            <w:shd w:val="clear" w:color="auto" w:fill="D0CECE" w:themeFill="background2" w:themeFillShade="E6"/>
            <w:noWrap/>
          </w:tcPr>
          <w:p w14:paraId="6315AB74"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-1,757</w:t>
            </w:r>
          </w:p>
        </w:tc>
        <w:tc>
          <w:tcPr>
            <w:tcW w:w="458" w:type="pct"/>
            <w:shd w:val="clear" w:color="auto" w:fill="FFD966" w:themeFill="accent4" w:themeFillTint="99"/>
            <w:noWrap/>
          </w:tcPr>
          <w:p w14:paraId="515F6133"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-3,167</w:t>
            </w:r>
          </w:p>
        </w:tc>
        <w:tc>
          <w:tcPr>
            <w:tcW w:w="458" w:type="pct"/>
            <w:shd w:val="clear" w:color="auto" w:fill="FFD966" w:themeFill="accent4" w:themeFillTint="99"/>
            <w:noWrap/>
          </w:tcPr>
          <w:p w14:paraId="5320B61F"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-3,096</w:t>
            </w:r>
          </w:p>
        </w:tc>
        <w:tc>
          <w:tcPr>
            <w:tcW w:w="458" w:type="pct"/>
            <w:shd w:val="clear" w:color="auto" w:fill="FFD966" w:themeFill="accent4" w:themeFillTint="99"/>
            <w:noWrap/>
          </w:tcPr>
          <w:p w14:paraId="28F79FE0"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-3,026</w:t>
            </w:r>
          </w:p>
        </w:tc>
        <w:tc>
          <w:tcPr>
            <w:tcW w:w="458" w:type="pct"/>
            <w:shd w:val="clear" w:color="auto" w:fill="FFD966" w:themeFill="accent4" w:themeFillTint="99"/>
            <w:noWrap/>
          </w:tcPr>
          <w:p w14:paraId="3EBD1B55"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-2,958</w:t>
            </w:r>
          </w:p>
        </w:tc>
      </w:tr>
      <w:tr w:rsidR="003D6288" w:rsidRPr="00AF391B" w14:paraId="27E93B16" w14:textId="77777777" w:rsidTr="00F91E6F">
        <w:trPr>
          <w:trHeight w:val="300"/>
        </w:trPr>
        <w:tc>
          <w:tcPr>
            <w:tcW w:w="1327" w:type="pct"/>
            <w:shd w:val="clear" w:color="auto" w:fill="auto"/>
            <w:noWrap/>
            <w:vAlign w:val="bottom"/>
          </w:tcPr>
          <w:p w14:paraId="4435349C"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WPM LULUCF sector</w:t>
            </w:r>
          </w:p>
        </w:tc>
        <w:tc>
          <w:tcPr>
            <w:tcW w:w="925" w:type="pct"/>
            <w:shd w:val="clear" w:color="auto" w:fill="D0CECE" w:themeFill="background2" w:themeFillShade="E6"/>
            <w:noWrap/>
          </w:tcPr>
          <w:p w14:paraId="483027A7"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-122</w:t>
            </w:r>
          </w:p>
        </w:tc>
        <w:tc>
          <w:tcPr>
            <w:tcW w:w="458" w:type="pct"/>
            <w:shd w:val="clear" w:color="auto" w:fill="D0CECE" w:themeFill="background2" w:themeFillShade="E6"/>
            <w:noWrap/>
          </w:tcPr>
          <w:p w14:paraId="7A6E097B"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-896</w:t>
            </w:r>
          </w:p>
        </w:tc>
        <w:tc>
          <w:tcPr>
            <w:tcW w:w="458" w:type="pct"/>
            <w:shd w:val="clear" w:color="auto" w:fill="D0CECE" w:themeFill="background2" w:themeFillShade="E6"/>
            <w:noWrap/>
          </w:tcPr>
          <w:p w14:paraId="6A6EAF63"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-2,610</w:t>
            </w:r>
          </w:p>
        </w:tc>
        <w:tc>
          <w:tcPr>
            <w:tcW w:w="458" w:type="pct"/>
            <w:shd w:val="clear" w:color="auto" w:fill="FFF2CC" w:themeFill="accent4" w:themeFillTint="33"/>
            <w:noWrap/>
          </w:tcPr>
          <w:p w14:paraId="334B64F9"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-5,163</w:t>
            </w:r>
          </w:p>
        </w:tc>
        <w:tc>
          <w:tcPr>
            <w:tcW w:w="458" w:type="pct"/>
            <w:shd w:val="clear" w:color="auto" w:fill="FFF2CC" w:themeFill="accent4" w:themeFillTint="33"/>
            <w:noWrap/>
          </w:tcPr>
          <w:p w14:paraId="6E6D6F88"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-5,069</w:t>
            </w:r>
          </w:p>
        </w:tc>
        <w:tc>
          <w:tcPr>
            <w:tcW w:w="458" w:type="pct"/>
            <w:shd w:val="clear" w:color="auto" w:fill="FFF2CC" w:themeFill="accent4" w:themeFillTint="33"/>
            <w:noWrap/>
          </w:tcPr>
          <w:p w14:paraId="775CB4C1"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-4,975</w:t>
            </w:r>
          </w:p>
        </w:tc>
        <w:tc>
          <w:tcPr>
            <w:tcW w:w="458" w:type="pct"/>
            <w:shd w:val="clear" w:color="auto" w:fill="FFF2CC" w:themeFill="accent4" w:themeFillTint="33"/>
            <w:noWrap/>
          </w:tcPr>
          <w:p w14:paraId="3A8F5629" w14:textId="77777777" w:rsidR="003D6288" w:rsidRPr="00AF391B" w:rsidRDefault="003D6288" w:rsidP="00AB0FEE">
            <w:pPr>
              <w:spacing w:after="0" w:line="240" w:lineRule="auto"/>
              <w:jc w:val="center"/>
              <w:rPr>
                <w:rFonts w:eastAsia="Times New Roman" w:cstheme="minorHAnsi"/>
                <w:sz w:val="24"/>
                <w:szCs w:val="24"/>
              </w:rPr>
            </w:pPr>
            <w:r w:rsidRPr="00AF391B">
              <w:rPr>
                <w:rFonts w:cstheme="minorHAnsi"/>
                <w:sz w:val="24"/>
                <w:szCs w:val="24"/>
              </w:rPr>
              <w:t>-4,882</w:t>
            </w:r>
          </w:p>
        </w:tc>
      </w:tr>
      <w:tr w:rsidR="003D6288" w:rsidRPr="00AF391B" w14:paraId="1DE1E163" w14:textId="77777777" w:rsidTr="00F91E6F">
        <w:trPr>
          <w:trHeight w:val="300"/>
        </w:trPr>
        <w:tc>
          <w:tcPr>
            <w:tcW w:w="1327" w:type="pct"/>
            <w:shd w:val="clear" w:color="auto" w:fill="auto"/>
            <w:noWrap/>
            <w:vAlign w:val="bottom"/>
          </w:tcPr>
          <w:p w14:paraId="398C8CD1" w14:textId="77777777" w:rsidR="003D6288" w:rsidRPr="00AF391B" w:rsidRDefault="003D6288" w:rsidP="00AB0FEE">
            <w:pPr>
              <w:spacing w:after="0" w:line="240" w:lineRule="auto"/>
              <w:rPr>
                <w:rFonts w:cstheme="minorHAnsi"/>
                <w:b/>
                <w:color w:val="000000"/>
                <w:sz w:val="24"/>
                <w:szCs w:val="24"/>
              </w:rPr>
            </w:pPr>
            <w:r w:rsidRPr="00AF391B">
              <w:rPr>
                <w:rFonts w:cstheme="minorHAnsi"/>
                <w:b/>
                <w:color w:val="000000"/>
                <w:sz w:val="24"/>
                <w:szCs w:val="24"/>
              </w:rPr>
              <w:t>WEM Total (with LULUCF)*</w:t>
            </w:r>
          </w:p>
        </w:tc>
        <w:tc>
          <w:tcPr>
            <w:tcW w:w="925" w:type="pct"/>
            <w:shd w:val="clear" w:color="auto" w:fill="D0CECE" w:themeFill="background2" w:themeFillShade="E6"/>
            <w:noWrap/>
          </w:tcPr>
          <w:p w14:paraId="6002EEE3"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8,633</w:t>
            </w:r>
          </w:p>
        </w:tc>
        <w:tc>
          <w:tcPr>
            <w:tcW w:w="458" w:type="pct"/>
            <w:shd w:val="clear" w:color="auto" w:fill="D0CECE" w:themeFill="background2" w:themeFillShade="E6"/>
            <w:noWrap/>
          </w:tcPr>
          <w:p w14:paraId="6B9366CF"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7,806</w:t>
            </w:r>
          </w:p>
        </w:tc>
        <w:tc>
          <w:tcPr>
            <w:tcW w:w="458" w:type="pct"/>
            <w:shd w:val="clear" w:color="auto" w:fill="D0CECE" w:themeFill="background2" w:themeFillShade="E6"/>
            <w:noWrap/>
          </w:tcPr>
          <w:p w14:paraId="10DC0611"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6,309</w:t>
            </w:r>
          </w:p>
        </w:tc>
        <w:tc>
          <w:tcPr>
            <w:tcW w:w="458" w:type="pct"/>
            <w:shd w:val="clear" w:color="auto" w:fill="auto"/>
            <w:noWrap/>
          </w:tcPr>
          <w:p w14:paraId="63E17F2F"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5,542</w:t>
            </w:r>
          </w:p>
        </w:tc>
        <w:tc>
          <w:tcPr>
            <w:tcW w:w="458" w:type="pct"/>
            <w:shd w:val="clear" w:color="auto" w:fill="auto"/>
            <w:noWrap/>
          </w:tcPr>
          <w:p w14:paraId="5CD91313"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5,501</w:t>
            </w:r>
          </w:p>
        </w:tc>
        <w:tc>
          <w:tcPr>
            <w:tcW w:w="458" w:type="pct"/>
            <w:shd w:val="clear" w:color="auto" w:fill="auto"/>
            <w:noWrap/>
          </w:tcPr>
          <w:p w14:paraId="0EBDBA6A"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5,450</w:t>
            </w:r>
          </w:p>
        </w:tc>
        <w:tc>
          <w:tcPr>
            <w:tcW w:w="458" w:type="pct"/>
            <w:shd w:val="clear" w:color="auto" w:fill="auto"/>
            <w:noWrap/>
          </w:tcPr>
          <w:p w14:paraId="1FA52750"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5,341</w:t>
            </w:r>
          </w:p>
        </w:tc>
      </w:tr>
      <w:tr w:rsidR="003D6288" w:rsidRPr="00AF391B" w14:paraId="183B844C" w14:textId="77777777" w:rsidTr="00F91E6F">
        <w:trPr>
          <w:trHeight w:val="300"/>
        </w:trPr>
        <w:tc>
          <w:tcPr>
            <w:tcW w:w="1327" w:type="pct"/>
            <w:shd w:val="clear" w:color="auto" w:fill="auto"/>
            <w:noWrap/>
            <w:vAlign w:val="bottom"/>
          </w:tcPr>
          <w:p w14:paraId="7D9044B7" w14:textId="77777777" w:rsidR="003D6288" w:rsidRPr="00AF391B" w:rsidRDefault="003D6288" w:rsidP="00AB0FEE">
            <w:pPr>
              <w:spacing w:after="0" w:line="240" w:lineRule="auto"/>
              <w:rPr>
                <w:rFonts w:cstheme="minorHAnsi"/>
                <w:b/>
                <w:color w:val="000000"/>
                <w:sz w:val="24"/>
                <w:szCs w:val="24"/>
              </w:rPr>
            </w:pPr>
            <w:r w:rsidRPr="00AF391B">
              <w:rPr>
                <w:rFonts w:cstheme="minorHAnsi"/>
                <w:b/>
                <w:color w:val="000000"/>
                <w:sz w:val="24"/>
                <w:szCs w:val="24"/>
              </w:rPr>
              <w:t>WEM Total (without LULUCF)</w:t>
            </w:r>
          </w:p>
        </w:tc>
        <w:tc>
          <w:tcPr>
            <w:tcW w:w="925" w:type="pct"/>
            <w:shd w:val="clear" w:color="auto" w:fill="D0CECE" w:themeFill="background2" w:themeFillShade="E6"/>
            <w:noWrap/>
          </w:tcPr>
          <w:p w14:paraId="22A911B3"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8,755</w:t>
            </w:r>
          </w:p>
        </w:tc>
        <w:tc>
          <w:tcPr>
            <w:tcW w:w="458" w:type="pct"/>
            <w:shd w:val="clear" w:color="auto" w:fill="D0CECE" w:themeFill="background2" w:themeFillShade="E6"/>
            <w:noWrap/>
          </w:tcPr>
          <w:p w14:paraId="4B18C530"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8,726</w:t>
            </w:r>
          </w:p>
        </w:tc>
        <w:tc>
          <w:tcPr>
            <w:tcW w:w="458" w:type="pct"/>
            <w:shd w:val="clear" w:color="auto" w:fill="D0CECE" w:themeFill="background2" w:themeFillShade="E6"/>
            <w:noWrap/>
          </w:tcPr>
          <w:p w14:paraId="10518F04"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8,067</w:t>
            </w:r>
          </w:p>
        </w:tc>
        <w:tc>
          <w:tcPr>
            <w:tcW w:w="458" w:type="pct"/>
            <w:shd w:val="clear" w:color="auto" w:fill="auto"/>
            <w:noWrap/>
          </w:tcPr>
          <w:p w14:paraId="23E8585C"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8,709</w:t>
            </w:r>
          </w:p>
        </w:tc>
        <w:tc>
          <w:tcPr>
            <w:tcW w:w="458" w:type="pct"/>
            <w:shd w:val="clear" w:color="auto" w:fill="auto"/>
            <w:noWrap/>
          </w:tcPr>
          <w:p w14:paraId="239274F9"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8,597</w:t>
            </w:r>
          </w:p>
        </w:tc>
        <w:tc>
          <w:tcPr>
            <w:tcW w:w="458" w:type="pct"/>
            <w:shd w:val="clear" w:color="auto" w:fill="auto"/>
            <w:noWrap/>
          </w:tcPr>
          <w:p w14:paraId="449E4D19" w14:textId="77777777" w:rsidR="003D6288" w:rsidRPr="00AF391B" w:rsidRDefault="003D6288" w:rsidP="00AB0FEE">
            <w:pPr>
              <w:spacing w:after="0" w:line="240" w:lineRule="auto"/>
              <w:jc w:val="center"/>
              <w:rPr>
                <w:rFonts w:cstheme="minorHAnsi"/>
                <w:b/>
                <w:sz w:val="24"/>
                <w:szCs w:val="24"/>
              </w:rPr>
            </w:pPr>
            <w:r w:rsidRPr="00AF391B">
              <w:rPr>
                <w:rFonts w:cstheme="minorHAnsi"/>
                <w:b/>
                <w:sz w:val="24"/>
                <w:szCs w:val="24"/>
              </w:rPr>
              <w:t>8,476</w:t>
            </w:r>
          </w:p>
        </w:tc>
        <w:tc>
          <w:tcPr>
            <w:tcW w:w="458" w:type="pct"/>
            <w:shd w:val="clear" w:color="auto" w:fill="auto"/>
            <w:noWrap/>
          </w:tcPr>
          <w:p w14:paraId="08008D5B"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sz w:val="24"/>
                <w:szCs w:val="24"/>
              </w:rPr>
              <w:t>8,299</w:t>
            </w:r>
          </w:p>
        </w:tc>
      </w:tr>
      <w:tr w:rsidR="003D6288" w:rsidRPr="00AF391B" w14:paraId="2F5BC2E9" w14:textId="77777777" w:rsidTr="00F91E6F">
        <w:trPr>
          <w:trHeight w:val="300"/>
        </w:trPr>
        <w:tc>
          <w:tcPr>
            <w:tcW w:w="1327" w:type="pct"/>
            <w:shd w:val="clear" w:color="auto" w:fill="auto"/>
            <w:noWrap/>
            <w:vAlign w:val="bottom"/>
          </w:tcPr>
          <w:p w14:paraId="3E4F1FD7" w14:textId="77777777" w:rsidR="003D6288" w:rsidRPr="00AF391B" w:rsidRDefault="003D6288" w:rsidP="00AB0FEE">
            <w:pPr>
              <w:spacing w:after="0" w:line="240" w:lineRule="auto"/>
              <w:rPr>
                <w:rFonts w:eastAsia="Times New Roman" w:cstheme="minorHAnsi"/>
                <w:b/>
                <w:color w:val="000000"/>
                <w:sz w:val="24"/>
                <w:szCs w:val="24"/>
              </w:rPr>
            </w:pPr>
            <w:r w:rsidRPr="00AF391B">
              <w:rPr>
                <w:rFonts w:eastAsia="Times New Roman" w:cstheme="minorHAnsi"/>
                <w:b/>
                <w:color w:val="000000"/>
                <w:sz w:val="24"/>
                <w:szCs w:val="24"/>
              </w:rPr>
              <w:t>WPM Total (with LULUCF)</w:t>
            </w:r>
          </w:p>
        </w:tc>
        <w:tc>
          <w:tcPr>
            <w:tcW w:w="925" w:type="pct"/>
            <w:shd w:val="clear" w:color="auto" w:fill="D0CECE" w:themeFill="background2" w:themeFillShade="E6"/>
            <w:noWrap/>
          </w:tcPr>
          <w:p w14:paraId="7C8558D6"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8,633</w:t>
            </w:r>
          </w:p>
        </w:tc>
        <w:tc>
          <w:tcPr>
            <w:tcW w:w="458" w:type="pct"/>
            <w:shd w:val="clear" w:color="auto" w:fill="D0CECE" w:themeFill="background2" w:themeFillShade="E6"/>
            <w:noWrap/>
          </w:tcPr>
          <w:p w14:paraId="22AE12DD"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7,071</w:t>
            </w:r>
          </w:p>
        </w:tc>
        <w:tc>
          <w:tcPr>
            <w:tcW w:w="458" w:type="pct"/>
            <w:shd w:val="clear" w:color="auto" w:fill="D0CECE" w:themeFill="background2" w:themeFillShade="E6"/>
            <w:noWrap/>
          </w:tcPr>
          <w:p w14:paraId="0B166B59"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4,841</w:t>
            </w:r>
          </w:p>
        </w:tc>
        <w:tc>
          <w:tcPr>
            <w:tcW w:w="458" w:type="pct"/>
            <w:shd w:val="clear" w:color="auto" w:fill="auto"/>
            <w:noWrap/>
          </w:tcPr>
          <w:p w14:paraId="7620FE9C"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1,600</w:t>
            </w:r>
          </w:p>
        </w:tc>
        <w:tc>
          <w:tcPr>
            <w:tcW w:w="458" w:type="pct"/>
            <w:shd w:val="clear" w:color="auto" w:fill="auto"/>
            <w:noWrap/>
          </w:tcPr>
          <w:p w14:paraId="6AD4993C"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1,070</w:t>
            </w:r>
          </w:p>
        </w:tc>
        <w:tc>
          <w:tcPr>
            <w:tcW w:w="458" w:type="pct"/>
            <w:shd w:val="clear" w:color="auto" w:fill="auto"/>
            <w:noWrap/>
          </w:tcPr>
          <w:p w14:paraId="790788A8"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1,017</w:t>
            </w:r>
          </w:p>
        </w:tc>
        <w:tc>
          <w:tcPr>
            <w:tcW w:w="458" w:type="pct"/>
            <w:shd w:val="clear" w:color="auto" w:fill="auto"/>
            <w:noWrap/>
          </w:tcPr>
          <w:p w14:paraId="31128A98"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915</w:t>
            </w:r>
          </w:p>
        </w:tc>
      </w:tr>
      <w:tr w:rsidR="003D6288" w:rsidRPr="00AF391B" w14:paraId="044BF27C" w14:textId="77777777" w:rsidTr="00F91E6F">
        <w:trPr>
          <w:trHeight w:val="300"/>
        </w:trPr>
        <w:tc>
          <w:tcPr>
            <w:tcW w:w="1327" w:type="pct"/>
            <w:shd w:val="clear" w:color="auto" w:fill="auto"/>
            <w:noWrap/>
            <w:vAlign w:val="bottom"/>
          </w:tcPr>
          <w:p w14:paraId="6E512861" w14:textId="77777777" w:rsidR="003D6288" w:rsidRPr="00AF391B" w:rsidRDefault="003D6288" w:rsidP="00AB0FEE">
            <w:pPr>
              <w:spacing w:after="0" w:line="240" w:lineRule="auto"/>
              <w:rPr>
                <w:rFonts w:eastAsia="Times New Roman" w:cstheme="minorHAnsi"/>
                <w:b/>
                <w:color w:val="000000"/>
                <w:sz w:val="24"/>
                <w:szCs w:val="24"/>
              </w:rPr>
            </w:pPr>
            <w:r w:rsidRPr="00AF391B">
              <w:rPr>
                <w:rFonts w:eastAsia="Times New Roman" w:cstheme="minorHAnsi"/>
                <w:b/>
                <w:color w:val="000000"/>
                <w:sz w:val="24"/>
                <w:szCs w:val="24"/>
              </w:rPr>
              <w:t>WPM Total (without LULUCF)</w:t>
            </w:r>
          </w:p>
        </w:tc>
        <w:tc>
          <w:tcPr>
            <w:tcW w:w="925" w:type="pct"/>
            <w:shd w:val="clear" w:color="auto" w:fill="D0CECE" w:themeFill="background2" w:themeFillShade="E6"/>
            <w:noWrap/>
          </w:tcPr>
          <w:p w14:paraId="3A86F2DF"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8,755</w:t>
            </w:r>
          </w:p>
        </w:tc>
        <w:tc>
          <w:tcPr>
            <w:tcW w:w="458" w:type="pct"/>
            <w:shd w:val="clear" w:color="auto" w:fill="D0CECE" w:themeFill="background2" w:themeFillShade="E6"/>
            <w:noWrap/>
          </w:tcPr>
          <w:p w14:paraId="6620228F"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7,967</w:t>
            </w:r>
          </w:p>
        </w:tc>
        <w:tc>
          <w:tcPr>
            <w:tcW w:w="458" w:type="pct"/>
            <w:shd w:val="clear" w:color="auto" w:fill="D0CECE" w:themeFill="background2" w:themeFillShade="E6"/>
            <w:noWrap/>
          </w:tcPr>
          <w:p w14:paraId="79DAC813"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7,451</w:t>
            </w:r>
          </w:p>
        </w:tc>
        <w:tc>
          <w:tcPr>
            <w:tcW w:w="458" w:type="pct"/>
            <w:shd w:val="clear" w:color="auto" w:fill="auto"/>
            <w:noWrap/>
          </w:tcPr>
          <w:p w14:paraId="593A71F8"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6,764</w:t>
            </w:r>
          </w:p>
        </w:tc>
        <w:tc>
          <w:tcPr>
            <w:tcW w:w="458" w:type="pct"/>
            <w:shd w:val="clear" w:color="auto" w:fill="auto"/>
            <w:noWrap/>
          </w:tcPr>
          <w:p w14:paraId="323314AE"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6,138</w:t>
            </w:r>
          </w:p>
        </w:tc>
        <w:tc>
          <w:tcPr>
            <w:tcW w:w="458" w:type="pct"/>
            <w:shd w:val="clear" w:color="auto" w:fill="auto"/>
            <w:noWrap/>
          </w:tcPr>
          <w:p w14:paraId="6CAD2C07"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5,992</w:t>
            </w:r>
          </w:p>
        </w:tc>
        <w:tc>
          <w:tcPr>
            <w:tcW w:w="458" w:type="pct"/>
            <w:shd w:val="clear" w:color="auto" w:fill="auto"/>
            <w:noWrap/>
          </w:tcPr>
          <w:p w14:paraId="4A7EFA0F" w14:textId="77777777" w:rsidR="003D6288" w:rsidRPr="00AF391B" w:rsidRDefault="003D6288" w:rsidP="00AB0FEE">
            <w:pPr>
              <w:spacing w:after="0" w:line="240" w:lineRule="auto"/>
              <w:jc w:val="center"/>
              <w:rPr>
                <w:rFonts w:eastAsia="Times New Roman" w:cstheme="minorHAnsi"/>
                <w:b/>
                <w:bCs/>
                <w:sz w:val="24"/>
                <w:szCs w:val="24"/>
              </w:rPr>
            </w:pPr>
            <w:r w:rsidRPr="00AF391B">
              <w:rPr>
                <w:rFonts w:cstheme="minorHAnsi"/>
                <w:b/>
                <w:bCs/>
                <w:sz w:val="24"/>
                <w:szCs w:val="24"/>
              </w:rPr>
              <w:t>5,797</w:t>
            </w:r>
          </w:p>
        </w:tc>
      </w:tr>
      <w:tr w:rsidR="003D6288" w:rsidRPr="00AF391B" w14:paraId="1AC3A17B" w14:textId="77777777" w:rsidTr="00F91E6F">
        <w:trPr>
          <w:trHeight w:val="86"/>
        </w:trPr>
        <w:tc>
          <w:tcPr>
            <w:tcW w:w="5000" w:type="pct"/>
            <w:gridSpan w:val="8"/>
            <w:shd w:val="clear" w:color="auto" w:fill="auto"/>
            <w:noWrap/>
            <w:vAlign w:val="bottom"/>
          </w:tcPr>
          <w:p w14:paraId="70A23B23" w14:textId="77777777" w:rsidR="003D6288" w:rsidRPr="00AF391B" w:rsidRDefault="003D6288" w:rsidP="00AB0FEE">
            <w:pPr>
              <w:spacing w:after="0" w:line="240" w:lineRule="auto"/>
              <w:jc w:val="center"/>
              <w:rPr>
                <w:rFonts w:eastAsia="Times New Roman" w:cstheme="minorHAnsi"/>
                <w:b/>
                <w:sz w:val="24"/>
                <w:szCs w:val="24"/>
              </w:rPr>
            </w:pPr>
          </w:p>
        </w:tc>
      </w:tr>
      <w:tr w:rsidR="003D6288" w:rsidRPr="00AF391B" w14:paraId="031D174E" w14:textId="77777777" w:rsidTr="00F91E6F">
        <w:trPr>
          <w:trHeight w:val="300"/>
        </w:trPr>
        <w:tc>
          <w:tcPr>
            <w:tcW w:w="1327" w:type="pct"/>
            <w:shd w:val="clear" w:color="auto" w:fill="BDD6EE" w:themeFill="accent1" w:themeFillTint="66"/>
            <w:noWrap/>
            <w:vAlign w:val="bottom"/>
          </w:tcPr>
          <w:p w14:paraId="5E16B796" w14:textId="77777777" w:rsidR="003D6288" w:rsidRPr="00AF391B" w:rsidRDefault="003D6288" w:rsidP="00AB0FEE">
            <w:pPr>
              <w:spacing w:after="0" w:line="240" w:lineRule="auto"/>
              <w:rPr>
                <w:rFonts w:eastAsia="Times New Roman" w:cstheme="minorHAnsi"/>
                <w:color w:val="000000"/>
                <w:sz w:val="24"/>
                <w:szCs w:val="24"/>
                <w:lang w:val="en-US"/>
              </w:rPr>
            </w:pPr>
            <w:r w:rsidRPr="00AF391B">
              <w:rPr>
                <w:rFonts w:eastAsia="Times New Roman" w:cstheme="minorHAnsi"/>
                <w:color w:val="000000"/>
                <w:sz w:val="24"/>
                <w:szCs w:val="24"/>
                <w:lang w:val="en-US"/>
              </w:rPr>
              <w:t>Share of RES in GFEC, %</w:t>
            </w:r>
          </w:p>
        </w:tc>
        <w:tc>
          <w:tcPr>
            <w:tcW w:w="925" w:type="pct"/>
            <w:shd w:val="clear" w:color="auto" w:fill="00B0F0"/>
            <w:noWrap/>
            <w:vAlign w:val="center"/>
          </w:tcPr>
          <w:p w14:paraId="288DCF68"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2020</w:t>
            </w:r>
          </w:p>
        </w:tc>
        <w:tc>
          <w:tcPr>
            <w:tcW w:w="458" w:type="pct"/>
            <w:shd w:val="clear" w:color="auto" w:fill="00B0F0"/>
            <w:noWrap/>
            <w:vAlign w:val="center"/>
          </w:tcPr>
          <w:p w14:paraId="635AA16B"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2025</w:t>
            </w:r>
          </w:p>
        </w:tc>
        <w:tc>
          <w:tcPr>
            <w:tcW w:w="458" w:type="pct"/>
            <w:shd w:val="clear" w:color="auto" w:fill="00B0F0"/>
            <w:noWrap/>
            <w:vAlign w:val="center"/>
          </w:tcPr>
          <w:p w14:paraId="26EF8181"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2030</w:t>
            </w:r>
          </w:p>
        </w:tc>
        <w:tc>
          <w:tcPr>
            <w:tcW w:w="458" w:type="pct"/>
            <w:shd w:val="clear" w:color="auto" w:fill="00B0F0"/>
            <w:noWrap/>
            <w:vAlign w:val="center"/>
          </w:tcPr>
          <w:p w14:paraId="4D480076"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2035</w:t>
            </w:r>
          </w:p>
        </w:tc>
        <w:tc>
          <w:tcPr>
            <w:tcW w:w="458" w:type="pct"/>
            <w:shd w:val="clear" w:color="auto" w:fill="00B0F0"/>
            <w:noWrap/>
            <w:vAlign w:val="center"/>
          </w:tcPr>
          <w:p w14:paraId="5E469D76"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2040</w:t>
            </w:r>
          </w:p>
        </w:tc>
        <w:tc>
          <w:tcPr>
            <w:tcW w:w="458" w:type="pct"/>
            <w:shd w:val="clear" w:color="auto" w:fill="00B0F0"/>
            <w:noWrap/>
            <w:vAlign w:val="center"/>
          </w:tcPr>
          <w:p w14:paraId="5613959A"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2045</w:t>
            </w:r>
          </w:p>
        </w:tc>
        <w:tc>
          <w:tcPr>
            <w:tcW w:w="458" w:type="pct"/>
            <w:shd w:val="clear" w:color="auto" w:fill="00B0F0"/>
            <w:noWrap/>
            <w:vAlign w:val="center"/>
          </w:tcPr>
          <w:p w14:paraId="485F17B3"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2050</w:t>
            </w:r>
          </w:p>
        </w:tc>
      </w:tr>
      <w:tr w:rsidR="003D6288" w:rsidRPr="00AF391B" w14:paraId="130E45A2" w14:textId="77777777" w:rsidTr="00F91E6F">
        <w:trPr>
          <w:trHeight w:val="300"/>
        </w:trPr>
        <w:tc>
          <w:tcPr>
            <w:tcW w:w="1327" w:type="pct"/>
            <w:shd w:val="clear" w:color="auto" w:fill="auto"/>
            <w:noWrap/>
            <w:vAlign w:val="bottom"/>
          </w:tcPr>
          <w:p w14:paraId="0E13C6AF" w14:textId="77777777" w:rsidR="003D6288" w:rsidRPr="00AF391B" w:rsidRDefault="003D6288" w:rsidP="00AB0FEE">
            <w:pPr>
              <w:spacing w:after="0" w:line="240" w:lineRule="auto"/>
              <w:rPr>
                <w:rFonts w:eastAsia="Times New Roman" w:cstheme="minorHAnsi"/>
                <w:color w:val="000000"/>
                <w:sz w:val="24"/>
                <w:szCs w:val="24"/>
              </w:rPr>
            </w:pPr>
            <w:r w:rsidRPr="00AF391B">
              <w:rPr>
                <w:rFonts w:eastAsia="Times New Roman" w:cstheme="minorHAnsi"/>
                <w:color w:val="000000"/>
                <w:sz w:val="24"/>
                <w:szCs w:val="24"/>
              </w:rPr>
              <w:lastRenderedPageBreak/>
              <w:t>WEM</w:t>
            </w:r>
          </w:p>
        </w:tc>
        <w:tc>
          <w:tcPr>
            <w:tcW w:w="925" w:type="pct"/>
            <w:shd w:val="clear" w:color="auto" w:fill="D0CECE" w:themeFill="background2" w:themeFillShade="E6"/>
            <w:noWrap/>
            <w:vAlign w:val="bottom"/>
          </w:tcPr>
          <w:p w14:paraId="27B9D5A9"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24.23%</w:t>
            </w:r>
          </w:p>
        </w:tc>
        <w:tc>
          <w:tcPr>
            <w:tcW w:w="458" w:type="pct"/>
            <w:shd w:val="clear" w:color="auto" w:fill="D0CECE" w:themeFill="background2" w:themeFillShade="E6"/>
            <w:noWrap/>
            <w:vAlign w:val="bottom"/>
          </w:tcPr>
          <w:p w14:paraId="1F4673B6"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24.68%</w:t>
            </w:r>
          </w:p>
        </w:tc>
        <w:tc>
          <w:tcPr>
            <w:tcW w:w="458" w:type="pct"/>
            <w:shd w:val="clear" w:color="auto" w:fill="D0CECE" w:themeFill="background2" w:themeFillShade="E6"/>
            <w:noWrap/>
            <w:vAlign w:val="bottom"/>
          </w:tcPr>
          <w:p w14:paraId="6CD1D33F"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25.62%</w:t>
            </w:r>
          </w:p>
        </w:tc>
        <w:tc>
          <w:tcPr>
            <w:tcW w:w="458" w:type="pct"/>
            <w:shd w:val="clear" w:color="auto" w:fill="auto"/>
            <w:noWrap/>
            <w:vAlign w:val="bottom"/>
          </w:tcPr>
          <w:p w14:paraId="48A218B0"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25.85%</w:t>
            </w:r>
          </w:p>
        </w:tc>
        <w:tc>
          <w:tcPr>
            <w:tcW w:w="458" w:type="pct"/>
            <w:shd w:val="clear" w:color="auto" w:fill="auto"/>
            <w:noWrap/>
            <w:vAlign w:val="bottom"/>
          </w:tcPr>
          <w:p w14:paraId="0D99FB12"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25.72%</w:t>
            </w:r>
          </w:p>
        </w:tc>
        <w:tc>
          <w:tcPr>
            <w:tcW w:w="458" w:type="pct"/>
            <w:shd w:val="clear" w:color="auto" w:fill="auto"/>
            <w:noWrap/>
            <w:vAlign w:val="bottom"/>
          </w:tcPr>
          <w:p w14:paraId="6741A0ED"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24.82%</w:t>
            </w:r>
          </w:p>
        </w:tc>
        <w:tc>
          <w:tcPr>
            <w:tcW w:w="458" w:type="pct"/>
            <w:shd w:val="clear" w:color="auto" w:fill="auto"/>
            <w:noWrap/>
            <w:vAlign w:val="bottom"/>
          </w:tcPr>
          <w:p w14:paraId="5BC79790"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25.31%</w:t>
            </w:r>
          </w:p>
        </w:tc>
      </w:tr>
      <w:tr w:rsidR="003D6288" w:rsidRPr="00AF391B" w14:paraId="5B7FED48" w14:textId="77777777" w:rsidTr="00F91E6F">
        <w:trPr>
          <w:trHeight w:val="300"/>
        </w:trPr>
        <w:tc>
          <w:tcPr>
            <w:tcW w:w="1327" w:type="pct"/>
            <w:shd w:val="clear" w:color="auto" w:fill="auto"/>
            <w:noWrap/>
            <w:vAlign w:val="bottom"/>
          </w:tcPr>
          <w:p w14:paraId="259214EC"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WPM</w:t>
            </w:r>
          </w:p>
        </w:tc>
        <w:tc>
          <w:tcPr>
            <w:tcW w:w="925" w:type="pct"/>
            <w:shd w:val="clear" w:color="auto" w:fill="D0CECE" w:themeFill="background2" w:themeFillShade="E6"/>
            <w:noWrap/>
            <w:vAlign w:val="bottom"/>
          </w:tcPr>
          <w:p w14:paraId="703956A2"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24.24%</w:t>
            </w:r>
          </w:p>
        </w:tc>
        <w:tc>
          <w:tcPr>
            <w:tcW w:w="458" w:type="pct"/>
            <w:shd w:val="clear" w:color="auto" w:fill="D0CECE" w:themeFill="background2" w:themeFillShade="E6"/>
            <w:noWrap/>
            <w:vAlign w:val="bottom"/>
          </w:tcPr>
          <w:p w14:paraId="62BD67D4"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26.29%</w:t>
            </w:r>
          </w:p>
        </w:tc>
        <w:tc>
          <w:tcPr>
            <w:tcW w:w="458" w:type="pct"/>
            <w:shd w:val="clear" w:color="auto" w:fill="D0CECE" w:themeFill="background2" w:themeFillShade="E6"/>
            <w:noWrap/>
            <w:vAlign w:val="bottom"/>
          </w:tcPr>
          <w:p w14:paraId="17452E46"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31.37%</w:t>
            </w:r>
          </w:p>
        </w:tc>
        <w:tc>
          <w:tcPr>
            <w:tcW w:w="458" w:type="pct"/>
            <w:shd w:val="clear" w:color="auto" w:fill="auto"/>
            <w:noWrap/>
            <w:vAlign w:val="bottom"/>
          </w:tcPr>
          <w:p w14:paraId="540CE961"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37.31%</w:t>
            </w:r>
          </w:p>
        </w:tc>
        <w:tc>
          <w:tcPr>
            <w:tcW w:w="458" w:type="pct"/>
            <w:shd w:val="clear" w:color="auto" w:fill="auto"/>
            <w:noWrap/>
            <w:vAlign w:val="bottom"/>
          </w:tcPr>
          <w:p w14:paraId="0E61FFB0"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41.73%</w:t>
            </w:r>
          </w:p>
        </w:tc>
        <w:tc>
          <w:tcPr>
            <w:tcW w:w="458" w:type="pct"/>
            <w:shd w:val="clear" w:color="auto" w:fill="auto"/>
            <w:noWrap/>
            <w:vAlign w:val="bottom"/>
          </w:tcPr>
          <w:p w14:paraId="609AC76C"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44.85%</w:t>
            </w:r>
          </w:p>
        </w:tc>
        <w:tc>
          <w:tcPr>
            <w:tcW w:w="458" w:type="pct"/>
            <w:shd w:val="clear" w:color="auto" w:fill="auto"/>
            <w:noWrap/>
            <w:vAlign w:val="bottom"/>
          </w:tcPr>
          <w:p w14:paraId="2CE154D3" w14:textId="77777777" w:rsidR="003D6288" w:rsidRPr="00AF391B" w:rsidRDefault="003D6288" w:rsidP="00AB0FEE">
            <w:pPr>
              <w:spacing w:after="0" w:line="240" w:lineRule="auto"/>
              <w:jc w:val="center"/>
              <w:rPr>
                <w:rFonts w:eastAsia="Times New Roman" w:cstheme="minorHAnsi"/>
                <w:sz w:val="24"/>
                <w:szCs w:val="24"/>
              </w:rPr>
            </w:pPr>
            <w:r w:rsidRPr="00AF391B">
              <w:rPr>
                <w:rFonts w:cstheme="minorHAnsi"/>
                <w:sz w:val="24"/>
                <w:szCs w:val="24"/>
              </w:rPr>
              <w:t>47.52%</w:t>
            </w:r>
          </w:p>
        </w:tc>
      </w:tr>
      <w:tr w:rsidR="003D6288" w:rsidRPr="00AF391B" w14:paraId="10E6DA01" w14:textId="77777777" w:rsidTr="00F91E6F">
        <w:trPr>
          <w:trHeight w:val="70"/>
        </w:trPr>
        <w:tc>
          <w:tcPr>
            <w:tcW w:w="5000" w:type="pct"/>
            <w:gridSpan w:val="8"/>
            <w:shd w:val="clear" w:color="auto" w:fill="auto"/>
            <w:noWrap/>
            <w:vAlign w:val="bottom"/>
          </w:tcPr>
          <w:p w14:paraId="55BEB9B3" w14:textId="77777777" w:rsidR="003D6288" w:rsidRPr="00AF391B" w:rsidRDefault="003D6288" w:rsidP="00AB0FEE">
            <w:pPr>
              <w:spacing w:after="0" w:line="240" w:lineRule="auto"/>
              <w:jc w:val="center"/>
              <w:rPr>
                <w:rFonts w:eastAsia="Times New Roman" w:cstheme="minorHAnsi"/>
                <w:sz w:val="24"/>
                <w:szCs w:val="24"/>
              </w:rPr>
            </w:pPr>
          </w:p>
        </w:tc>
      </w:tr>
      <w:tr w:rsidR="003D6288" w:rsidRPr="00AF391B" w14:paraId="2B818C2D" w14:textId="77777777" w:rsidTr="00F91E6F">
        <w:trPr>
          <w:trHeight w:val="300"/>
        </w:trPr>
        <w:tc>
          <w:tcPr>
            <w:tcW w:w="1327" w:type="pct"/>
            <w:shd w:val="clear" w:color="auto" w:fill="BDD6EE" w:themeFill="accent1" w:themeFillTint="66"/>
            <w:noWrap/>
            <w:vAlign w:val="bottom"/>
          </w:tcPr>
          <w:p w14:paraId="034600E7" w14:textId="77777777" w:rsidR="003D6288" w:rsidRPr="00AF391B" w:rsidRDefault="003D6288" w:rsidP="00AB0FEE">
            <w:pPr>
              <w:spacing w:after="0" w:line="240" w:lineRule="auto"/>
              <w:rPr>
                <w:rFonts w:eastAsia="Times New Roman" w:cstheme="minorHAnsi"/>
                <w:color w:val="000000"/>
                <w:sz w:val="24"/>
                <w:szCs w:val="24"/>
                <w:lang w:val="en-US"/>
              </w:rPr>
            </w:pPr>
            <w:r w:rsidRPr="00AF391B">
              <w:rPr>
                <w:rFonts w:eastAsia="Times New Roman" w:cstheme="minorHAnsi"/>
                <w:color w:val="000000"/>
                <w:sz w:val="24"/>
                <w:szCs w:val="24"/>
                <w:lang w:val="en-US"/>
              </w:rPr>
              <w:t>Share of RES in electricity generation, %</w:t>
            </w:r>
          </w:p>
        </w:tc>
        <w:tc>
          <w:tcPr>
            <w:tcW w:w="925" w:type="pct"/>
            <w:shd w:val="clear" w:color="auto" w:fill="00B0F0"/>
            <w:noWrap/>
            <w:vAlign w:val="center"/>
          </w:tcPr>
          <w:p w14:paraId="2F9D5BA9"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2020</w:t>
            </w:r>
          </w:p>
        </w:tc>
        <w:tc>
          <w:tcPr>
            <w:tcW w:w="458" w:type="pct"/>
            <w:shd w:val="clear" w:color="auto" w:fill="00B0F0"/>
            <w:noWrap/>
            <w:vAlign w:val="center"/>
          </w:tcPr>
          <w:p w14:paraId="42D22FA6"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2025</w:t>
            </w:r>
          </w:p>
        </w:tc>
        <w:tc>
          <w:tcPr>
            <w:tcW w:w="458" w:type="pct"/>
            <w:shd w:val="clear" w:color="auto" w:fill="00B0F0"/>
            <w:noWrap/>
            <w:vAlign w:val="center"/>
          </w:tcPr>
          <w:p w14:paraId="147AC834"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2030</w:t>
            </w:r>
          </w:p>
        </w:tc>
        <w:tc>
          <w:tcPr>
            <w:tcW w:w="458" w:type="pct"/>
            <w:shd w:val="clear" w:color="auto" w:fill="00B0F0"/>
            <w:noWrap/>
            <w:vAlign w:val="center"/>
          </w:tcPr>
          <w:p w14:paraId="455F1EA6"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2035</w:t>
            </w:r>
          </w:p>
        </w:tc>
        <w:tc>
          <w:tcPr>
            <w:tcW w:w="458" w:type="pct"/>
            <w:shd w:val="clear" w:color="auto" w:fill="00B0F0"/>
            <w:noWrap/>
            <w:vAlign w:val="center"/>
          </w:tcPr>
          <w:p w14:paraId="6D27A323"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2040</w:t>
            </w:r>
          </w:p>
        </w:tc>
        <w:tc>
          <w:tcPr>
            <w:tcW w:w="458" w:type="pct"/>
            <w:shd w:val="clear" w:color="auto" w:fill="00B0F0"/>
            <w:noWrap/>
            <w:vAlign w:val="center"/>
          </w:tcPr>
          <w:p w14:paraId="24AA77F1"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2045</w:t>
            </w:r>
          </w:p>
        </w:tc>
        <w:tc>
          <w:tcPr>
            <w:tcW w:w="458" w:type="pct"/>
            <w:shd w:val="clear" w:color="auto" w:fill="00B0F0"/>
            <w:noWrap/>
            <w:vAlign w:val="center"/>
          </w:tcPr>
          <w:p w14:paraId="3AC826B4"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2050</w:t>
            </w:r>
          </w:p>
        </w:tc>
      </w:tr>
      <w:tr w:rsidR="003D6288" w:rsidRPr="00AF391B" w14:paraId="6E7C075B" w14:textId="77777777" w:rsidTr="00F91E6F">
        <w:trPr>
          <w:trHeight w:val="300"/>
        </w:trPr>
        <w:tc>
          <w:tcPr>
            <w:tcW w:w="1327" w:type="pct"/>
            <w:shd w:val="clear" w:color="auto" w:fill="auto"/>
            <w:noWrap/>
            <w:vAlign w:val="bottom"/>
          </w:tcPr>
          <w:p w14:paraId="23EB6A73"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WEM</w:t>
            </w:r>
          </w:p>
        </w:tc>
        <w:tc>
          <w:tcPr>
            <w:tcW w:w="925" w:type="pct"/>
            <w:shd w:val="clear" w:color="auto" w:fill="D0CECE" w:themeFill="background2" w:themeFillShade="E6"/>
            <w:noWrap/>
            <w:vAlign w:val="bottom"/>
          </w:tcPr>
          <w:p w14:paraId="195F77ED"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3.12%</w:t>
            </w:r>
          </w:p>
        </w:tc>
        <w:tc>
          <w:tcPr>
            <w:tcW w:w="458" w:type="pct"/>
            <w:shd w:val="clear" w:color="auto" w:fill="D0CECE" w:themeFill="background2" w:themeFillShade="E6"/>
            <w:noWrap/>
            <w:vAlign w:val="bottom"/>
          </w:tcPr>
          <w:p w14:paraId="7E8870C6"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6.10%</w:t>
            </w:r>
          </w:p>
        </w:tc>
        <w:tc>
          <w:tcPr>
            <w:tcW w:w="458" w:type="pct"/>
            <w:shd w:val="clear" w:color="auto" w:fill="D0CECE" w:themeFill="background2" w:themeFillShade="E6"/>
            <w:noWrap/>
            <w:vAlign w:val="bottom"/>
          </w:tcPr>
          <w:p w14:paraId="535B462D"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10.57%</w:t>
            </w:r>
          </w:p>
        </w:tc>
        <w:tc>
          <w:tcPr>
            <w:tcW w:w="458" w:type="pct"/>
            <w:shd w:val="clear" w:color="auto" w:fill="auto"/>
            <w:noWrap/>
            <w:vAlign w:val="bottom"/>
          </w:tcPr>
          <w:p w14:paraId="6FA01C10"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10.80%</w:t>
            </w:r>
          </w:p>
        </w:tc>
        <w:tc>
          <w:tcPr>
            <w:tcW w:w="458" w:type="pct"/>
            <w:shd w:val="clear" w:color="auto" w:fill="auto"/>
            <w:noWrap/>
            <w:vAlign w:val="bottom"/>
          </w:tcPr>
          <w:p w14:paraId="6C618B58"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14.45%</w:t>
            </w:r>
          </w:p>
        </w:tc>
        <w:tc>
          <w:tcPr>
            <w:tcW w:w="458" w:type="pct"/>
            <w:shd w:val="clear" w:color="auto" w:fill="auto"/>
            <w:noWrap/>
            <w:vAlign w:val="bottom"/>
          </w:tcPr>
          <w:p w14:paraId="752BA0C8"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14.55%</w:t>
            </w:r>
          </w:p>
        </w:tc>
        <w:tc>
          <w:tcPr>
            <w:tcW w:w="458" w:type="pct"/>
            <w:shd w:val="clear" w:color="auto" w:fill="auto"/>
            <w:noWrap/>
            <w:vAlign w:val="bottom"/>
          </w:tcPr>
          <w:p w14:paraId="25C41590" w14:textId="77777777" w:rsidR="003D6288" w:rsidRPr="00AF391B" w:rsidRDefault="003D6288" w:rsidP="00AB0FEE">
            <w:pPr>
              <w:spacing w:after="0" w:line="240" w:lineRule="auto"/>
              <w:jc w:val="center"/>
              <w:rPr>
                <w:rFonts w:eastAsia="Times New Roman" w:cstheme="minorHAnsi"/>
                <w:sz w:val="24"/>
                <w:szCs w:val="24"/>
              </w:rPr>
            </w:pPr>
            <w:r w:rsidRPr="00AF391B">
              <w:rPr>
                <w:rFonts w:cstheme="minorHAnsi"/>
                <w:sz w:val="24"/>
                <w:szCs w:val="24"/>
              </w:rPr>
              <w:t>17.58%</w:t>
            </w:r>
          </w:p>
        </w:tc>
      </w:tr>
      <w:tr w:rsidR="003D6288" w:rsidRPr="00AF391B" w14:paraId="123EB0F0" w14:textId="77777777" w:rsidTr="00F91E6F">
        <w:trPr>
          <w:trHeight w:val="300"/>
        </w:trPr>
        <w:tc>
          <w:tcPr>
            <w:tcW w:w="1327" w:type="pct"/>
            <w:shd w:val="clear" w:color="auto" w:fill="auto"/>
            <w:noWrap/>
            <w:vAlign w:val="bottom"/>
          </w:tcPr>
          <w:p w14:paraId="27332A4B" w14:textId="77777777" w:rsidR="003D6288" w:rsidRPr="00AF391B" w:rsidRDefault="003D6288" w:rsidP="00AB0FEE">
            <w:pPr>
              <w:spacing w:after="0" w:line="240" w:lineRule="auto"/>
              <w:rPr>
                <w:rFonts w:eastAsia="Times New Roman" w:cstheme="minorHAnsi"/>
                <w:color w:val="000000"/>
                <w:sz w:val="24"/>
                <w:szCs w:val="24"/>
              </w:rPr>
            </w:pPr>
            <w:r w:rsidRPr="00AF391B">
              <w:rPr>
                <w:rFonts w:eastAsia="Times New Roman" w:cstheme="minorHAnsi"/>
                <w:color w:val="000000"/>
                <w:sz w:val="24"/>
                <w:szCs w:val="24"/>
              </w:rPr>
              <w:t>WPM</w:t>
            </w:r>
          </w:p>
        </w:tc>
        <w:tc>
          <w:tcPr>
            <w:tcW w:w="925" w:type="pct"/>
            <w:shd w:val="clear" w:color="auto" w:fill="D0CECE" w:themeFill="background2" w:themeFillShade="E6"/>
            <w:noWrap/>
            <w:vAlign w:val="bottom"/>
          </w:tcPr>
          <w:p w14:paraId="70EA3903"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3.12%</w:t>
            </w:r>
          </w:p>
        </w:tc>
        <w:tc>
          <w:tcPr>
            <w:tcW w:w="458" w:type="pct"/>
            <w:shd w:val="clear" w:color="auto" w:fill="D0CECE" w:themeFill="background2" w:themeFillShade="E6"/>
            <w:noWrap/>
            <w:vAlign w:val="bottom"/>
          </w:tcPr>
          <w:p w14:paraId="649A2A03"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13.11%</w:t>
            </w:r>
          </w:p>
        </w:tc>
        <w:tc>
          <w:tcPr>
            <w:tcW w:w="458" w:type="pct"/>
            <w:shd w:val="clear" w:color="auto" w:fill="D0CECE" w:themeFill="background2" w:themeFillShade="E6"/>
            <w:noWrap/>
            <w:vAlign w:val="bottom"/>
          </w:tcPr>
          <w:p w14:paraId="094AB419"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34.07%</w:t>
            </w:r>
          </w:p>
        </w:tc>
        <w:tc>
          <w:tcPr>
            <w:tcW w:w="458" w:type="pct"/>
            <w:shd w:val="clear" w:color="auto" w:fill="auto"/>
            <w:noWrap/>
            <w:vAlign w:val="bottom"/>
          </w:tcPr>
          <w:p w14:paraId="11EBD1FE"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56.17%</w:t>
            </w:r>
          </w:p>
        </w:tc>
        <w:tc>
          <w:tcPr>
            <w:tcW w:w="458" w:type="pct"/>
            <w:shd w:val="clear" w:color="auto" w:fill="auto"/>
            <w:noWrap/>
            <w:vAlign w:val="bottom"/>
          </w:tcPr>
          <w:p w14:paraId="1EE3A583"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66.41%</w:t>
            </w:r>
          </w:p>
        </w:tc>
        <w:tc>
          <w:tcPr>
            <w:tcW w:w="458" w:type="pct"/>
            <w:shd w:val="clear" w:color="auto" w:fill="auto"/>
            <w:noWrap/>
            <w:vAlign w:val="bottom"/>
          </w:tcPr>
          <w:p w14:paraId="1E515AD3"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78.19%</w:t>
            </w:r>
          </w:p>
        </w:tc>
        <w:tc>
          <w:tcPr>
            <w:tcW w:w="458" w:type="pct"/>
            <w:shd w:val="clear" w:color="auto" w:fill="auto"/>
            <w:noWrap/>
            <w:vAlign w:val="bottom"/>
          </w:tcPr>
          <w:p w14:paraId="32160807"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84.53%</w:t>
            </w:r>
          </w:p>
        </w:tc>
      </w:tr>
      <w:tr w:rsidR="003D6288" w:rsidRPr="00AF391B" w14:paraId="228862CA" w14:textId="77777777" w:rsidTr="00F91E6F">
        <w:trPr>
          <w:trHeight w:val="70"/>
        </w:trPr>
        <w:tc>
          <w:tcPr>
            <w:tcW w:w="5000" w:type="pct"/>
            <w:gridSpan w:val="8"/>
            <w:shd w:val="clear" w:color="auto" w:fill="auto"/>
            <w:noWrap/>
            <w:vAlign w:val="bottom"/>
          </w:tcPr>
          <w:p w14:paraId="0A16AA1A" w14:textId="77777777" w:rsidR="003D6288" w:rsidRPr="00AF391B" w:rsidRDefault="003D6288" w:rsidP="00AB0FEE">
            <w:pPr>
              <w:spacing w:after="0" w:line="240" w:lineRule="auto"/>
              <w:jc w:val="center"/>
              <w:rPr>
                <w:rFonts w:eastAsia="Times New Roman" w:cstheme="minorHAnsi"/>
                <w:sz w:val="24"/>
                <w:szCs w:val="24"/>
              </w:rPr>
            </w:pPr>
          </w:p>
        </w:tc>
      </w:tr>
      <w:tr w:rsidR="003D6288" w:rsidRPr="00AF391B" w14:paraId="5AF9B7D4" w14:textId="77777777" w:rsidTr="00F91E6F">
        <w:trPr>
          <w:trHeight w:val="300"/>
        </w:trPr>
        <w:tc>
          <w:tcPr>
            <w:tcW w:w="1327" w:type="pct"/>
            <w:shd w:val="clear" w:color="auto" w:fill="BDD6EE" w:themeFill="accent1" w:themeFillTint="66"/>
            <w:noWrap/>
            <w:vAlign w:val="bottom"/>
          </w:tcPr>
          <w:p w14:paraId="6542B3D3" w14:textId="77777777" w:rsidR="003D6288" w:rsidRPr="00AF391B" w:rsidRDefault="003D6288" w:rsidP="00AB0FEE">
            <w:pPr>
              <w:spacing w:after="0" w:line="240" w:lineRule="auto"/>
              <w:rPr>
                <w:rFonts w:eastAsia="Times New Roman" w:cstheme="minorHAnsi"/>
                <w:color w:val="000000"/>
                <w:sz w:val="24"/>
                <w:szCs w:val="24"/>
                <w:lang w:val="en-US"/>
              </w:rPr>
            </w:pPr>
            <w:r w:rsidRPr="00AF391B">
              <w:rPr>
                <w:rFonts w:eastAsia="Times New Roman" w:cstheme="minorHAnsi"/>
                <w:color w:val="000000"/>
                <w:sz w:val="24"/>
                <w:szCs w:val="24"/>
                <w:lang w:val="en-US"/>
              </w:rPr>
              <w:t>Share of RES in transport, %</w:t>
            </w:r>
          </w:p>
        </w:tc>
        <w:tc>
          <w:tcPr>
            <w:tcW w:w="925" w:type="pct"/>
            <w:shd w:val="clear" w:color="auto" w:fill="00B0F0"/>
            <w:noWrap/>
            <w:vAlign w:val="center"/>
          </w:tcPr>
          <w:p w14:paraId="4AF99AB1"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2020</w:t>
            </w:r>
          </w:p>
        </w:tc>
        <w:tc>
          <w:tcPr>
            <w:tcW w:w="458" w:type="pct"/>
            <w:shd w:val="clear" w:color="auto" w:fill="00B0F0"/>
            <w:noWrap/>
            <w:vAlign w:val="center"/>
          </w:tcPr>
          <w:p w14:paraId="64B04780"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2025</w:t>
            </w:r>
          </w:p>
        </w:tc>
        <w:tc>
          <w:tcPr>
            <w:tcW w:w="458" w:type="pct"/>
            <w:shd w:val="clear" w:color="auto" w:fill="00B0F0"/>
            <w:noWrap/>
            <w:vAlign w:val="center"/>
          </w:tcPr>
          <w:p w14:paraId="59B3D31D"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2030</w:t>
            </w:r>
          </w:p>
        </w:tc>
        <w:tc>
          <w:tcPr>
            <w:tcW w:w="458" w:type="pct"/>
            <w:shd w:val="clear" w:color="auto" w:fill="00B0F0"/>
            <w:noWrap/>
            <w:vAlign w:val="center"/>
          </w:tcPr>
          <w:p w14:paraId="62B6E2AA"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2035</w:t>
            </w:r>
          </w:p>
        </w:tc>
        <w:tc>
          <w:tcPr>
            <w:tcW w:w="458" w:type="pct"/>
            <w:shd w:val="clear" w:color="auto" w:fill="00B0F0"/>
            <w:noWrap/>
            <w:vAlign w:val="center"/>
          </w:tcPr>
          <w:p w14:paraId="1D227983"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2040</w:t>
            </w:r>
          </w:p>
        </w:tc>
        <w:tc>
          <w:tcPr>
            <w:tcW w:w="458" w:type="pct"/>
            <w:shd w:val="clear" w:color="auto" w:fill="00B0F0"/>
            <w:noWrap/>
            <w:vAlign w:val="center"/>
          </w:tcPr>
          <w:p w14:paraId="4E9C63B1"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2045</w:t>
            </w:r>
          </w:p>
        </w:tc>
        <w:tc>
          <w:tcPr>
            <w:tcW w:w="458" w:type="pct"/>
            <w:shd w:val="clear" w:color="auto" w:fill="00B0F0"/>
            <w:noWrap/>
            <w:vAlign w:val="center"/>
          </w:tcPr>
          <w:p w14:paraId="60A9539E"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b/>
                <w:bCs/>
                <w:color w:val="FFFFFF"/>
                <w:sz w:val="24"/>
                <w:szCs w:val="24"/>
              </w:rPr>
              <w:t>2050</w:t>
            </w:r>
          </w:p>
        </w:tc>
      </w:tr>
      <w:tr w:rsidR="003D6288" w:rsidRPr="00AF391B" w14:paraId="06C1DD51" w14:textId="77777777" w:rsidTr="00F91E6F">
        <w:trPr>
          <w:trHeight w:val="300"/>
        </w:trPr>
        <w:tc>
          <w:tcPr>
            <w:tcW w:w="1327" w:type="pct"/>
            <w:shd w:val="clear" w:color="auto" w:fill="auto"/>
            <w:noWrap/>
            <w:vAlign w:val="bottom"/>
          </w:tcPr>
          <w:p w14:paraId="390E1B47"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WEM</w:t>
            </w:r>
          </w:p>
        </w:tc>
        <w:tc>
          <w:tcPr>
            <w:tcW w:w="925" w:type="pct"/>
            <w:shd w:val="clear" w:color="auto" w:fill="D0CECE" w:themeFill="background2" w:themeFillShade="E6"/>
            <w:noWrap/>
            <w:vAlign w:val="bottom"/>
          </w:tcPr>
          <w:p w14:paraId="6D3955C5"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0.01%</w:t>
            </w:r>
          </w:p>
        </w:tc>
        <w:tc>
          <w:tcPr>
            <w:tcW w:w="458" w:type="pct"/>
            <w:shd w:val="clear" w:color="auto" w:fill="D0CECE" w:themeFill="background2" w:themeFillShade="E6"/>
            <w:noWrap/>
            <w:vAlign w:val="bottom"/>
          </w:tcPr>
          <w:p w14:paraId="4B9C64BF"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1.06%</w:t>
            </w:r>
          </w:p>
        </w:tc>
        <w:tc>
          <w:tcPr>
            <w:tcW w:w="458" w:type="pct"/>
            <w:shd w:val="clear" w:color="auto" w:fill="D0CECE" w:themeFill="background2" w:themeFillShade="E6"/>
            <w:noWrap/>
            <w:vAlign w:val="bottom"/>
          </w:tcPr>
          <w:p w14:paraId="49D1C8BB"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1.71%</w:t>
            </w:r>
          </w:p>
        </w:tc>
        <w:tc>
          <w:tcPr>
            <w:tcW w:w="458" w:type="pct"/>
            <w:shd w:val="clear" w:color="auto" w:fill="auto"/>
            <w:noWrap/>
            <w:vAlign w:val="bottom"/>
          </w:tcPr>
          <w:p w14:paraId="100E8381"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2.60%</w:t>
            </w:r>
          </w:p>
        </w:tc>
        <w:tc>
          <w:tcPr>
            <w:tcW w:w="458" w:type="pct"/>
            <w:shd w:val="clear" w:color="auto" w:fill="auto"/>
            <w:noWrap/>
            <w:vAlign w:val="bottom"/>
          </w:tcPr>
          <w:p w14:paraId="17D7AFFA"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3.06%</w:t>
            </w:r>
          </w:p>
        </w:tc>
        <w:tc>
          <w:tcPr>
            <w:tcW w:w="458" w:type="pct"/>
            <w:shd w:val="clear" w:color="auto" w:fill="auto"/>
            <w:noWrap/>
            <w:vAlign w:val="bottom"/>
          </w:tcPr>
          <w:p w14:paraId="4886C191"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3.79%</w:t>
            </w:r>
          </w:p>
        </w:tc>
        <w:tc>
          <w:tcPr>
            <w:tcW w:w="458" w:type="pct"/>
            <w:shd w:val="clear" w:color="auto" w:fill="auto"/>
            <w:noWrap/>
            <w:vAlign w:val="bottom"/>
          </w:tcPr>
          <w:p w14:paraId="74BCB6E8" w14:textId="77777777" w:rsidR="003D6288" w:rsidRPr="00AF391B" w:rsidRDefault="003D6288" w:rsidP="00AB0FEE">
            <w:pPr>
              <w:spacing w:after="0" w:line="240" w:lineRule="auto"/>
              <w:jc w:val="center"/>
              <w:rPr>
                <w:rFonts w:eastAsia="Times New Roman" w:cstheme="minorHAnsi"/>
                <w:sz w:val="24"/>
                <w:szCs w:val="24"/>
              </w:rPr>
            </w:pPr>
            <w:r w:rsidRPr="00AF391B">
              <w:rPr>
                <w:rFonts w:cstheme="minorHAnsi"/>
                <w:sz w:val="24"/>
                <w:szCs w:val="24"/>
              </w:rPr>
              <w:t>4.85%</w:t>
            </w:r>
          </w:p>
        </w:tc>
      </w:tr>
      <w:tr w:rsidR="003D6288" w:rsidRPr="00AF391B" w14:paraId="0ABFE6D1" w14:textId="77777777" w:rsidTr="00F91E6F">
        <w:trPr>
          <w:trHeight w:val="300"/>
        </w:trPr>
        <w:tc>
          <w:tcPr>
            <w:tcW w:w="1327" w:type="pct"/>
            <w:shd w:val="clear" w:color="auto" w:fill="auto"/>
            <w:noWrap/>
            <w:vAlign w:val="bottom"/>
          </w:tcPr>
          <w:p w14:paraId="565429CB" w14:textId="77777777" w:rsidR="003D6288" w:rsidRPr="00AF391B" w:rsidRDefault="003D6288" w:rsidP="00AB0FEE">
            <w:pPr>
              <w:spacing w:after="0" w:line="240" w:lineRule="auto"/>
              <w:rPr>
                <w:rFonts w:eastAsia="Times New Roman" w:cstheme="minorHAnsi"/>
                <w:color w:val="000000"/>
                <w:sz w:val="24"/>
                <w:szCs w:val="24"/>
              </w:rPr>
            </w:pPr>
            <w:r w:rsidRPr="00AF391B">
              <w:rPr>
                <w:rFonts w:eastAsia="Times New Roman" w:cstheme="minorHAnsi"/>
                <w:color w:val="000000"/>
                <w:sz w:val="24"/>
                <w:szCs w:val="24"/>
              </w:rPr>
              <w:t>WPM</w:t>
            </w:r>
          </w:p>
        </w:tc>
        <w:tc>
          <w:tcPr>
            <w:tcW w:w="925" w:type="pct"/>
            <w:shd w:val="clear" w:color="auto" w:fill="D0CECE" w:themeFill="background2" w:themeFillShade="E6"/>
            <w:noWrap/>
            <w:vAlign w:val="bottom"/>
          </w:tcPr>
          <w:p w14:paraId="75D42184"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0.01%</w:t>
            </w:r>
          </w:p>
        </w:tc>
        <w:tc>
          <w:tcPr>
            <w:tcW w:w="458" w:type="pct"/>
            <w:shd w:val="clear" w:color="auto" w:fill="D0CECE" w:themeFill="background2" w:themeFillShade="E6"/>
            <w:noWrap/>
            <w:vAlign w:val="bottom"/>
          </w:tcPr>
          <w:p w14:paraId="6616BDCF"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3.70%</w:t>
            </w:r>
          </w:p>
        </w:tc>
        <w:tc>
          <w:tcPr>
            <w:tcW w:w="458" w:type="pct"/>
            <w:shd w:val="clear" w:color="auto" w:fill="D0CECE" w:themeFill="background2" w:themeFillShade="E6"/>
            <w:noWrap/>
            <w:vAlign w:val="bottom"/>
          </w:tcPr>
          <w:p w14:paraId="117CADF5"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7.60%</w:t>
            </w:r>
          </w:p>
        </w:tc>
        <w:tc>
          <w:tcPr>
            <w:tcW w:w="458" w:type="pct"/>
            <w:shd w:val="clear" w:color="auto" w:fill="auto"/>
            <w:noWrap/>
            <w:vAlign w:val="bottom"/>
          </w:tcPr>
          <w:p w14:paraId="772A37DD"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13.78%</w:t>
            </w:r>
          </w:p>
        </w:tc>
        <w:tc>
          <w:tcPr>
            <w:tcW w:w="458" w:type="pct"/>
            <w:shd w:val="clear" w:color="auto" w:fill="auto"/>
            <w:noWrap/>
            <w:vAlign w:val="bottom"/>
          </w:tcPr>
          <w:p w14:paraId="29AE0B67"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23.69%</w:t>
            </w:r>
          </w:p>
        </w:tc>
        <w:tc>
          <w:tcPr>
            <w:tcW w:w="458" w:type="pct"/>
            <w:shd w:val="clear" w:color="auto" w:fill="auto"/>
            <w:noWrap/>
            <w:vAlign w:val="bottom"/>
          </w:tcPr>
          <w:p w14:paraId="14F83A79"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30.20%</w:t>
            </w:r>
          </w:p>
        </w:tc>
        <w:tc>
          <w:tcPr>
            <w:tcW w:w="458" w:type="pct"/>
            <w:shd w:val="clear" w:color="auto" w:fill="auto"/>
            <w:noWrap/>
            <w:vAlign w:val="bottom"/>
          </w:tcPr>
          <w:p w14:paraId="11E7F573" w14:textId="77777777" w:rsidR="003D6288" w:rsidRPr="00AF391B" w:rsidRDefault="003D6288" w:rsidP="00AB0FEE">
            <w:pPr>
              <w:spacing w:after="0" w:line="240" w:lineRule="auto"/>
              <w:jc w:val="center"/>
              <w:rPr>
                <w:rFonts w:eastAsia="Times New Roman" w:cstheme="minorHAnsi"/>
                <w:sz w:val="24"/>
                <w:szCs w:val="24"/>
              </w:rPr>
            </w:pPr>
            <w:r w:rsidRPr="00AF391B">
              <w:rPr>
                <w:rFonts w:eastAsia="Times New Roman" w:cstheme="minorHAnsi"/>
                <w:sz w:val="24"/>
                <w:szCs w:val="24"/>
              </w:rPr>
              <w:t>35.88%</w:t>
            </w:r>
          </w:p>
        </w:tc>
      </w:tr>
      <w:tr w:rsidR="003D6288" w:rsidRPr="00AF391B" w14:paraId="39BF0EB0" w14:textId="77777777" w:rsidTr="00F91E6F">
        <w:trPr>
          <w:trHeight w:val="70"/>
        </w:trPr>
        <w:tc>
          <w:tcPr>
            <w:tcW w:w="5000" w:type="pct"/>
            <w:gridSpan w:val="8"/>
            <w:shd w:val="clear" w:color="auto" w:fill="auto"/>
            <w:noWrap/>
            <w:vAlign w:val="bottom"/>
          </w:tcPr>
          <w:p w14:paraId="7F068F94" w14:textId="77777777" w:rsidR="003D6288" w:rsidRPr="00AF391B" w:rsidRDefault="003D6288" w:rsidP="00AB0FEE">
            <w:pPr>
              <w:spacing w:after="0" w:line="240" w:lineRule="auto"/>
              <w:jc w:val="center"/>
              <w:rPr>
                <w:rFonts w:eastAsia="Times New Roman" w:cstheme="minorHAnsi"/>
                <w:b/>
                <w:bCs/>
                <w:color w:val="FFFFFF"/>
                <w:sz w:val="24"/>
                <w:szCs w:val="24"/>
              </w:rPr>
            </w:pPr>
          </w:p>
        </w:tc>
      </w:tr>
      <w:tr w:rsidR="003D6288" w:rsidRPr="00AF391B" w14:paraId="19B42FE1" w14:textId="77777777" w:rsidTr="00F91E6F">
        <w:trPr>
          <w:trHeight w:val="300"/>
        </w:trPr>
        <w:tc>
          <w:tcPr>
            <w:tcW w:w="1327" w:type="pct"/>
            <w:shd w:val="clear" w:color="auto" w:fill="BDD6EE" w:themeFill="accent1" w:themeFillTint="66"/>
            <w:noWrap/>
            <w:vAlign w:val="bottom"/>
          </w:tcPr>
          <w:p w14:paraId="71A33B65" w14:textId="77777777" w:rsidR="003D6288" w:rsidRPr="00AF391B" w:rsidRDefault="003D6288" w:rsidP="00AB0FEE">
            <w:pPr>
              <w:spacing w:after="0" w:line="240" w:lineRule="auto"/>
              <w:rPr>
                <w:rFonts w:cstheme="minorHAnsi"/>
                <w:color w:val="000000"/>
                <w:sz w:val="24"/>
                <w:szCs w:val="24"/>
                <w:lang w:val="en-US"/>
              </w:rPr>
            </w:pPr>
            <w:r w:rsidRPr="00AF391B">
              <w:rPr>
                <w:rFonts w:cstheme="minorHAnsi"/>
                <w:color w:val="000000"/>
                <w:sz w:val="24"/>
                <w:szCs w:val="24"/>
                <w:lang w:val="en-US"/>
              </w:rPr>
              <w:t>Average Electricity Supply costs, Euro/kWh</w:t>
            </w:r>
          </w:p>
        </w:tc>
        <w:tc>
          <w:tcPr>
            <w:tcW w:w="925" w:type="pct"/>
            <w:shd w:val="clear" w:color="auto" w:fill="00B0F0"/>
            <w:noWrap/>
            <w:vAlign w:val="center"/>
          </w:tcPr>
          <w:p w14:paraId="1E2A7A25"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2020</w:t>
            </w:r>
          </w:p>
        </w:tc>
        <w:tc>
          <w:tcPr>
            <w:tcW w:w="458" w:type="pct"/>
            <w:shd w:val="clear" w:color="auto" w:fill="00B0F0"/>
            <w:noWrap/>
            <w:vAlign w:val="center"/>
          </w:tcPr>
          <w:p w14:paraId="5E9C9902"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2025</w:t>
            </w:r>
          </w:p>
        </w:tc>
        <w:tc>
          <w:tcPr>
            <w:tcW w:w="458" w:type="pct"/>
            <w:shd w:val="clear" w:color="auto" w:fill="00B0F0"/>
            <w:noWrap/>
            <w:vAlign w:val="center"/>
          </w:tcPr>
          <w:p w14:paraId="38A6CB14"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2030</w:t>
            </w:r>
          </w:p>
        </w:tc>
        <w:tc>
          <w:tcPr>
            <w:tcW w:w="458" w:type="pct"/>
            <w:shd w:val="clear" w:color="auto" w:fill="00B0F0"/>
            <w:noWrap/>
            <w:vAlign w:val="center"/>
          </w:tcPr>
          <w:p w14:paraId="71C98093"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2035</w:t>
            </w:r>
          </w:p>
        </w:tc>
        <w:tc>
          <w:tcPr>
            <w:tcW w:w="458" w:type="pct"/>
            <w:shd w:val="clear" w:color="auto" w:fill="00B0F0"/>
            <w:noWrap/>
            <w:vAlign w:val="center"/>
          </w:tcPr>
          <w:p w14:paraId="5A567E16"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2040</w:t>
            </w:r>
          </w:p>
        </w:tc>
        <w:tc>
          <w:tcPr>
            <w:tcW w:w="458" w:type="pct"/>
            <w:shd w:val="clear" w:color="auto" w:fill="00B0F0"/>
            <w:noWrap/>
            <w:vAlign w:val="center"/>
          </w:tcPr>
          <w:p w14:paraId="43300768"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2045</w:t>
            </w:r>
          </w:p>
        </w:tc>
        <w:tc>
          <w:tcPr>
            <w:tcW w:w="458" w:type="pct"/>
            <w:shd w:val="clear" w:color="auto" w:fill="00B0F0"/>
            <w:noWrap/>
            <w:vAlign w:val="center"/>
          </w:tcPr>
          <w:p w14:paraId="2498EC76"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2050</w:t>
            </w:r>
          </w:p>
        </w:tc>
      </w:tr>
      <w:tr w:rsidR="003D6288" w:rsidRPr="00AF391B" w14:paraId="1BCC0CB6" w14:textId="77777777" w:rsidTr="00F91E6F">
        <w:trPr>
          <w:trHeight w:val="300"/>
        </w:trPr>
        <w:tc>
          <w:tcPr>
            <w:tcW w:w="1327" w:type="pct"/>
            <w:shd w:val="clear" w:color="auto" w:fill="auto"/>
            <w:noWrap/>
            <w:vAlign w:val="center"/>
          </w:tcPr>
          <w:p w14:paraId="309D8961"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WEM</w:t>
            </w:r>
          </w:p>
        </w:tc>
        <w:tc>
          <w:tcPr>
            <w:tcW w:w="925" w:type="pct"/>
            <w:shd w:val="clear" w:color="auto" w:fill="D0CECE" w:themeFill="background2" w:themeFillShade="E6"/>
            <w:noWrap/>
            <w:vAlign w:val="center"/>
          </w:tcPr>
          <w:p w14:paraId="26AC2262"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0.04</w:t>
            </w:r>
          </w:p>
        </w:tc>
        <w:tc>
          <w:tcPr>
            <w:tcW w:w="458" w:type="pct"/>
            <w:shd w:val="clear" w:color="auto" w:fill="D0CECE" w:themeFill="background2" w:themeFillShade="E6"/>
            <w:noWrap/>
            <w:vAlign w:val="center"/>
          </w:tcPr>
          <w:p w14:paraId="34AFE2C4"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0.06</w:t>
            </w:r>
          </w:p>
        </w:tc>
        <w:tc>
          <w:tcPr>
            <w:tcW w:w="458" w:type="pct"/>
            <w:shd w:val="clear" w:color="auto" w:fill="D0CECE" w:themeFill="background2" w:themeFillShade="E6"/>
            <w:noWrap/>
            <w:vAlign w:val="center"/>
          </w:tcPr>
          <w:p w14:paraId="5A9B58E3"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0.07</w:t>
            </w:r>
          </w:p>
        </w:tc>
        <w:tc>
          <w:tcPr>
            <w:tcW w:w="458" w:type="pct"/>
            <w:shd w:val="clear" w:color="auto" w:fill="auto"/>
            <w:noWrap/>
            <w:vAlign w:val="center"/>
          </w:tcPr>
          <w:p w14:paraId="14ADD495"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0.07</w:t>
            </w:r>
          </w:p>
        </w:tc>
        <w:tc>
          <w:tcPr>
            <w:tcW w:w="458" w:type="pct"/>
            <w:shd w:val="clear" w:color="auto" w:fill="auto"/>
            <w:noWrap/>
            <w:vAlign w:val="center"/>
          </w:tcPr>
          <w:p w14:paraId="6BC122FB"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0.07</w:t>
            </w:r>
          </w:p>
        </w:tc>
        <w:tc>
          <w:tcPr>
            <w:tcW w:w="458" w:type="pct"/>
            <w:shd w:val="clear" w:color="auto" w:fill="auto"/>
            <w:noWrap/>
            <w:vAlign w:val="center"/>
          </w:tcPr>
          <w:p w14:paraId="6B67E2A1"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0.07</w:t>
            </w:r>
          </w:p>
        </w:tc>
        <w:tc>
          <w:tcPr>
            <w:tcW w:w="458" w:type="pct"/>
            <w:shd w:val="clear" w:color="auto" w:fill="auto"/>
            <w:noWrap/>
            <w:vAlign w:val="center"/>
          </w:tcPr>
          <w:p w14:paraId="0B6E269D"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0.07</w:t>
            </w:r>
          </w:p>
        </w:tc>
      </w:tr>
      <w:tr w:rsidR="003D6288" w:rsidRPr="00AF391B" w14:paraId="27230F9F" w14:textId="77777777" w:rsidTr="00F91E6F">
        <w:trPr>
          <w:trHeight w:val="300"/>
        </w:trPr>
        <w:tc>
          <w:tcPr>
            <w:tcW w:w="1327" w:type="pct"/>
            <w:shd w:val="clear" w:color="auto" w:fill="auto"/>
            <w:noWrap/>
            <w:vAlign w:val="center"/>
          </w:tcPr>
          <w:p w14:paraId="7E105404"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WPM</w:t>
            </w:r>
          </w:p>
        </w:tc>
        <w:tc>
          <w:tcPr>
            <w:tcW w:w="925" w:type="pct"/>
            <w:shd w:val="clear" w:color="auto" w:fill="D0CECE" w:themeFill="background2" w:themeFillShade="E6"/>
            <w:noWrap/>
            <w:vAlign w:val="center"/>
          </w:tcPr>
          <w:p w14:paraId="53741C9B"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0.04</w:t>
            </w:r>
          </w:p>
        </w:tc>
        <w:tc>
          <w:tcPr>
            <w:tcW w:w="458" w:type="pct"/>
            <w:shd w:val="clear" w:color="auto" w:fill="D0CECE" w:themeFill="background2" w:themeFillShade="E6"/>
            <w:noWrap/>
            <w:vAlign w:val="center"/>
          </w:tcPr>
          <w:p w14:paraId="287A4997"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0.06</w:t>
            </w:r>
          </w:p>
        </w:tc>
        <w:tc>
          <w:tcPr>
            <w:tcW w:w="458" w:type="pct"/>
            <w:shd w:val="clear" w:color="auto" w:fill="D0CECE" w:themeFill="background2" w:themeFillShade="E6"/>
            <w:noWrap/>
            <w:vAlign w:val="center"/>
          </w:tcPr>
          <w:p w14:paraId="7665F32E"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0.08</w:t>
            </w:r>
          </w:p>
        </w:tc>
        <w:tc>
          <w:tcPr>
            <w:tcW w:w="458" w:type="pct"/>
            <w:shd w:val="clear" w:color="auto" w:fill="auto"/>
            <w:noWrap/>
            <w:vAlign w:val="center"/>
          </w:tcPr>
          <w:p w14:paraId="402F16EF"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0.08</w:t>
            </w:r>
          </w:p>
        </w:tc>
        <w:tc>
          <w:tcPr>
            <w:tcW w:w="458" w:type="pct"/>
            <w:shd w:val="clear" w:color="auto" w:fill="auto"/>
            <w:noWrap/>
            <w:vAlign w:val="center"/>
          </w:tcPr>
          <w:p w14:paraId="698FA5F7"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0.08</w:t>
            </w:r>
          </w:p>
        </w:tc>
        <w:tc>
          <w:tcPr>
            <w:tcW w:w="458" w:type="pct"/>
            <w:shd w:val="clear" w:color="auto" w:fill="auto"/>
            <w:noWrap/>
            <w:vAlign w:val="center"/>
          </w:tcPr>
          <w:p w14:paraId="46DED816"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0.08</w:t>
            </w:r>
          </w:p>
        </w:tc>
        <w:tc>
          <w:tcPr>
            <w:tcW w:w="458" w:type="pct"/>
            <w:shd w:val="clear" w:color="auto" w:fill="auto"/>
            <w:noWrap/>
            <w:vAlign w:val="center"/>
          </w:tcPr>
          <w:p w14:paraId="6E149849"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0.08</w:t>
            </w:r>
          </w:p>
        </w:tc>
      </w:tr>
      <w:tr w:rsidR="003D6288" w:rsidRPr="00AF391B" w14:paraId="366289C2" w14:textId="77777777" w:rsidTr="00F91E6F">
        <w:trPr>
          <w:trHeight w:val="70"/>
        </w:trPr>
        <w:tc>
          <w:tcPr>
            <w:tcW w:w="5000" w:type="pct"/>
            <w:gridSpan w:val="8"/>
            <w:shd w:val="clear" w:color="auto" w:fill="auto"/>
            <w:noWrap/>
            <w:vAlign w:val="center"/>
          </w:tcPr>
          <w:p w14:paraId="071B1E35" w14:textId="77777777" w:rsidR="003D6288" w:rsidRPr="00AF391B" w:rsidRDefault="003D6288" w:rsidP="00AB0FEE">
            <w:pPr>
              <w:spacing w:after="0" w:line="240" w:lineRule="auto"/>
              <w:jc w:val="center"/>
              <w:rPr>
                <w:rFonts w:cstheme="minorHAnsi"/>
                <w:b/>
                <w:color w:val="FFFFFF"/>
                <w:sz w:val="24"/>
                <w:szCs w:val="24"/>
              </w:rPr>
            </w:pPr>
          </w:p>
        </w:tc>
      </w:tr>
      <w:tr w:rsidR="003D6288" w:rsidRPr="00AF391B" w14:paraId="11BAB7CF" w14:textId="77777777" w:rsidTr="00F91E6F">
        <w:trPr>
          <w:trHeight w:val="300"/>
        </w:trPr>
        <w:tc>
          <w:tcPr>
            <w:tcW w:w="1327" w:type="pct"/>
            <w:shd w:val="clear" w:color="auto" w:fill="BDD6EE" w:themeFill="accent1" w:themeFillTint="66"/>
            <w:noWrap/>
            <w:vAlign w:val="center"/>
          </w:tcPr>
          <w:p w14:paraId="7D4B9B49"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Installed Capacity Wind, MW</w:t>
            </w:r>
          </w:p>
        </w:tc>
        <w:tc>
          <w:tcPr>
            <w:tcW w:w="925" w:type="pct"/>
            <w:shd w:val="clear" w:color="auto" w:fill="00B0F0"/>
            <w:noWrap/>
            <w:vAlign w:val="center"/>
          </w:tcPr>
          <w:p w14:paraId="5891281E"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2020</w:t>
            </w:r>
          </w:p>
        </w:tc>
        <w:tc>
          <w:tcPr>
            <w:tcW w:w="458" w:type="pct"/>
            <w:shd w:val="clear" w:color="auto" w:fill="00B0F0"/>
            <w:noWrap/>
            <w:vAlign w:val="center"/>
          </w:tcPr>
          <w:p w14:paraId="53BCF69E"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2025</w:t>
            </w:r>
          </w:p>
        </w:tc>
        <w:tc>
          <w:tcPr>
            <w:tcW w:w="458" w:type="pct"/>
            <w:shd w:val="clear" w:color="auto" w:fill="00B0F0"/>
            <w:noWrap/>
            <w:vAlign w:val="center"/>
          </w:tcPr>
          <w:p w14:paraId="134DDE92"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2030</w:t>
            </w:r>
          </w:p>
        </w:tc>
        <w:tc>
          <w:tcPr>
            <w:tcW w:w="458" w:type="pct"/>
            <w:shd w:val="clear" w:color="auto" w:fill="00B0F0"/>
            <w:noWrap/>
            <w:vAlign w:val="center"/>
          </w:tcPr>
          <w:p w14:paraId="2D605258"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2035</w:t>
            </w:r>
          </w:p>
        </w:tc>
        <w:tc>
          <w:tcPr>
            <w:tcW w:w="458" w:type="pct"/>
            <w:shd w:val="clear" w:color="auto" w:fill="00B0F0"/>
            <w:noWrap/>
            <w:vAlign w:val="center"/>
          </w:tcPr>
          <w:p w14:paraId="6343C27F"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2040</w:t>
            </w:r>
          </w:p>
        </w:tc>
        <w:tc>
          <w:tcPr>
            <w:tcW w:w="458" w:type="pct"/>
            <w:shd w:val="clear" w:color="auto" w:fill="00B0F0"/>
            <w:noWrap/>
            <w:vAlign w:val="center"/>
          </w:tcPr>
          <w:p w14:paraId="39897BBF"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2045</w:t>
            </w:r>
          </w:p>
        </w:tc>
        <w:tc>
          <w:tcPr>
            <w:tcW w:w="458" w:type="pct"/>
            <w:shd w:val="clear" w:color="auto" w:fill="00B0F0"/>
            <w:noWrap/>
            <w:vAlign w:val="center"/>
          </w:tcPr>
          <w:p w14:paraId="6A5D20A8"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2050</w:t>
            </w:r>
          </w:p>
        </w:tc>
      </w:tr>
      <w:tr w:rsidR="003D6288" w:rsidRPr="00AF391B" w14:paraId="4B35BB01" w14:textId="77777777" w:rsidTr="00F91E6F">
        <w:trPr>
          <w:trHeight w:val="300"/>
        </w:trPr>
        <w:tc>
          <w:tcPr>
            <w:tcW w:w="1327" w:type="pct"/>
            <w:shd w:val="clear" w:color="auto" w:fill="auto"/>
            <w:noWrap/>
            <w:vAlign w:val="center"/>
          </w:tcPr>
          <w:p w14:paraId="432A2D75"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WEM</w:t>
            </w:r>
          </w:p>
        </w:tc>
        <w:tc>
          <w:tcPr>
            <w:tcW w:w="925" w:type="pct"/>
            <w:shd w:val="clear" w:color="auto" w:fill="D0CECE" w:themeFill="background2" w:themeFillShade="E6"/>
            <w:noWrap/>
            <w:vAlign w:val="bottom"/>
          </w:tcPr>
          <w:p w14:paraId="441EB041"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41</w:t>
            </w:r>
          </w:p>
        </w:tc>
        <w:tc>
          <w:tcPr>
            <w:tcW w:w="458" w:type="pct"/>
            <w:shd w:val="clear" w:color="auto" w:fill="D0CECE" w:themeFill="background2" w:themeFillShade="E6"/>
            <w:noWrap/>
            <w:vAlign w:val="bottom"/>
          </w:tcPr>
          <w:p w14:paraId="685C83C7"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71</w:t>
            </w:r>
          </w:p>
        </w:tc>
        <w:tc>
          <w:tcPr>
            <w:tcW w:w="458" w:type="pct"/>
            <w:shd w:val="clear" w:color="auto" w:fill="D0CECE" w:themeFill="background2" w:themeFillShade="E6"/>
            <w:noWrap/>
            <w:vAlign w:val="bottom"/>
          </w:tcPr>
          <w:p w14:paraId="40386526"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171</w:t>
            </w:r>
          </w:p>
        </w:tc>
        <w:tc>
          <w:tcPr>
            <w:tcW w:w="458" w:type="pct"/>
            <w:shd w:val="clear" w:color="auto" w:fill="auto"/>
            <w:noWrap/>
            <w:vAlign w:val="bottom"/>
          </w:tcPr>
          <w:p w14:paraId="4E8D464F"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171</w:t>
            </w:r>
          </w:p>
        </w:tc>
        <w:tc>
          <w:tcPr>
            <w:tcW w:w="458" w:type="pct"/>
            <w:shd w:val="clear" w:color="auto" w:fill="auto"/>
            <w:noWrap/>
            <w:vAlign w:val="bottom"/>
          </w:tcPr>
          <w:p w14:paraId="1CCF26EF"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233</w:t>
            </w:r>
          </w:p>
        </w:tc>
        <w:tc>
          <w:tcPr>
            <w:tcW w:w="458" w:type="pct"/>
            <w:shd w:val="clear" w:color="auto" w:fill="auto"/>
            <w:noWrap/>
            <w:vAlign w:val="bottom"/>
          </w:tcPr>
          <w:p w14:paraId="52155752"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255</w:t>
            </w:r>
          </w:p>
        </w:tc>
        <w:tc>
          <w:tcPr>
            <w:tcW w:w="458" w:type="pct"/>
            <w:shd w:val="clear" w:color="auto" w:fill="auto"/>
            <w:noWrap/>
            <w:vAlign w:val="bottom"/>
          </w:tcPr>
          <w:p w14:paraId="17C3BCFC"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315</w:t>
            </w:r>
          </w:p>
        </w:tc>
      </w:tr>
      <w:tr w:rsidR="003D6288" w:rsidRPr="00AF391B" w14:paraId="520DA7BC" w14:textId="77777777" w:rsidTr="00F91E6F">
        <w:trPr>
          <w:trHeight w:val="300"/>
        </w:trPr>
        <w:tc>
          <w:tcPr>
            <w:tcW w:w="1327" w:type="pct"/>
            <w:shd w:val="clear" w:color="auto" w:fill="auto"/>
            <w:noWrap/>
            <w:vAlign w:val="center"/>
          </w:tcPr>
          <w:p w14:paraId="6753FCB0"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WPM</w:t>
            </w:r>
          </w:p>
        </w:tc>
        <w:tc>
          <w:tcPr>
            <w:tcW w:w="925" w:type="pct"/>
            <w:shd w:val="clear" w:color="auto" w:fill="D0CECE" w:themeFill="background2" w:themeFillShade="E6"/>
            <w:noWrap/>
            <w:vAlign w:val="bottom"/>
          </w:tcPr>
          <w:p w14:paraId="1C11D849"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37</w:t>
            </w:r>
          </w:p>
        </w:tc>
        <w:tc>
          <w:tcPr>
            <w:tcW w:w="458" w:type="pct"/>
            <w:shd w:val="clear" w:color="auto" w:fill="D0CECE" w:themeFill="background2" w:themeFillShade="E6"/>
            <w:noWrap/>
            <w:vAlign w:val="bottom"/>
          </w:tcPr>
          <w:p w14:paraId="73A33505"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142</w:t>
            </w:r>
          </w:p>
        </w:tc>
        <w:tc>
          <w:tcPr>
            <w:tcW w:w="458" w:type="pct"/>
            <w:shd w:val="clear" w:color="auto" w:fill="D0CECE" w:themeFill="background2" w:themeFillShade="E6"/>
            <w:noWrap/>
            <w:vAlign w:val="bottom"/>
          </w:tcPr>
          <w:p w14:paraId="5735EC1D"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600</w:t>
            </w:r>
          </w:p>
        </w:tc>
        <w:tc>
          <w:tcPr>
            <w:tcW w:w="458" w:type="pct"/>
            <w:shd w:val="clear" w:color="auto" w:fill="auto"/>
            <w:noWrap/>
            <w:vAlign w:val="bottom"/>
          </w:tcPr>
          <w:p w14:paraId="4AAFF292"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w:t>
            </w:r>
            <w:r w:rsidR="00F91E6F" w:rsidRPr="00AF391B">
              <w:rPr>
                <w:rFonts w:cstheme="minorHAnsi"/>
                <w:sz w:val="24"/>
                <w:szCs w:val="24"/>
              </w:rPr>
              <w:t>,</w:t>
            </w:r>
            <w:r w:rsidRPr="00AF391B">
              <w:rPr>
                <w:rFonts w:cstheme="minorHAnsi"/>
                <w:sz w:val="24"/>
                <w:szCs w:val="24"/>
              </w:rPr>
              <w:t>200</w:t>
            </w:r>
          </w:p>
        </w:tc>
        <w:tc>
          <w:tcPr>
            <w:tcW w:w="458" w:type="pct"/>
            <w:shd w:val="clear" w:color="auto" w:fill="auto"/>
            <w:noWrap/>
            <w:vAlign w:val="bottom"/>
          </w:tcPr>
          <w:p w14:paraId="5AF9A34E"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w:t>
            </w:r>
            <w:r w:rsidR="00F91E6F" w:rsidRPr="00AF391B">
              <w:rPr>
                <w:rFonts w:cstheme="minorHAnsi"/>
                <w:sz w:val="24"/>
                <w:szCs w:val="24"/>
              </w:rPr>
              <w:t>,</w:t>
            </w:r>
            <w:r w:rsidRPr="00AF391B">
              <w:rPr>
                <w:rFonts w:cstheme="minorHAnsi"/>
                <w:sz w:val="24"/>
                <w:szCs w:val="24"/>
              </w:rPr>
              <w:t>762</w:t>
            </w:r>
          </w:p>
        </w:tc>
        <w:tc>
          <w:tcPr>
            <w:tcW w:w="458" w:type="pct"/>
            <w:shd w:val="clear" w:color="auto" w:fill="auto"/>
            <w:noWrap/>
            <w:vAlign w:val="bottom"/>
          </w:tcPr>
          <w:p w14:paraId="35FAC020"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w:t>
            </w:r>
            <w:r w:rsidR="00F91E6F" w:rsidRPr="00AF391B">
              <w:rPr>
                <w:rFonts w:cstheme="minorHAnsi"/>
                <w:sz w:val="24"/>
                <w:szCs w:val="24"/>
              </w:rPr>
              <w:t>,</w:t>
            </w:r>
            <w:r w:rsidRPr="00AF391B">
              <w:rPr>
                <w:rFonts w:cstheme="minorHAnsi"/>
                <w:sz w:val="24"/>
                <w:szCs w:val="24"/>
              </w:rPr>
              <w:t>539</w:t>
            </w:r>
          </w:p>
        </w:tc>
        <w:tc>
          <w:tcPr>
            <w:tcW w:w="458" w:type="pct"/>
            <w:shd w:val="clear" w:color="auto" w:fill="auto"/>
            <w:noWrap/>
            <w:vAlign w:val="bottom"/>
          </w:tcPr>
          <w:p w14:paraId="6FA96ED4"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w:t>
            </w:r>
            <w:r w:rsidR="00F91E6F" w:rsidRPr="00AF391B">
              <w:rPr>
                <w:rFonts w:cstheme="minorHAnsi"/>
                <w:sz w:val="24"/>
                <w:szCs w:val="24"/>
              </w:rPr>
              <w:t>,</w:t>
            </w:r>
            <w:r w:rsidRPr="00AF391B">
              <w:rPr>
                <w:rFonts w:cstheme="minorHAnsi"/>
                <w:sz w:val="24"/>
                <w:szCs w:val="24"/>
              </w:rPr>
              <w:t>074</w:t>
            </w:r>
          </w:p>
        </w:tc>
      </w:tr>
      <w:tr w:rsidR="003D6288" w:rsidRPr="00AF391B" w14:paraId="76AEB984" w14:textId="77777777" w:rsidTr="00463B32">
        <w:trPr>
          <w:trHeight w:val="104"/>
        </w:trPr>
        <w:tc>
          <w:tcPr>
            <w:tcW w:w="1327" w:type="pct"/>
            <w:shd w:val="clear" w:color="auto" w:fill="auto"/>
            <w:noWrap/>
            <w:vAlign w:val="center"/>
          </w:tcPr>
          <w:p w14:paraId="70E8C6B6" w14:textId="77777777" w:rsidR="003D6288" w:rsidRPr="00AF391B" w:rsidRDefault="003D6288" w:rsidP="00AB0FEE">
            <w:pPr>
              <w:spacing w:after="0" w:line="240" w:lineRule="auto"/>
              <w:rPr>
                <w:rFonts w:cstheme="minorHAnsi"/>
                <w:color w:val="000000"/>
                <w:sz w:val="24"/>
                <w:szCs w:val="24"/>
              </w:rPr>
            </w:pPr>
          </w:p>
        </w:tc>
        <w:tc>
          <w:tcPr>
            <w:tcW w:w="925" w:type="pct"/>
            <w:shd w:val="clear" w:color="auto" w:fill="auto"/>
            <w:noWrap/>
            <w:vAlign w:val="center"/>
          </w:tcPr>
          <w:p w14:paraId="2D1C3824" w14:textId="77777777" w:rsidR="003D6288" w:rsidRPr="00AF391B" w:rsidRDefault="003D6288" w:rsidP="00AB0FEE">
            <w:pPr>
              <w:spacing w:after="0" w:line="240" w:lineRule="auto"/>
              <w:jc w:val="center"/>
              <w:rPr>
                <w:rFonts w:cstheme="minorHAnsi"/>
                <w:b/>
                <w:color w:val="FFFFFF"/>
                <w:sz w:val="24"/>
                <w:szCs w:val="24"/>
              </w:rPr>
            </w:pPr>
          </w:p>
        </w:tc>
        <w:tc>
          <w:tcPr>
            <w:tcW w:w="458" w:type="pct"/>
            <w:shd w:val="clear" w:color="auto" w:fill="auto"/>
            <w:noWrap/>
            <w:vAlign w:val="center"/>
          </w:tcPr>
          <w:p w14:paraId="2EA29904" w14:textId="77777777" w:rsidR="003D6288" w:rsidRPr="00AF391B" w:rsidRDefault="003D6288" w:rsidP="00AB0FEE">
            <w:pPr>
              <w:spacing w:after="0" w:line="240" w:lineRule="auto"/>
              <w:jc w:val="center"/>
              <w:rPr>
                <w:rFonts w:cstheme="minorHAnsi"/>
                <w:b/>
                <w:color w:val="FFFFFF"/>
                <w:sz w:val="24"/>
                <w:szCs w:val="24"/>
              </w:rPr>
            </w:pPr>
          </w:p>
        </w:tc>
        <w:tc>
          <w:tcPr>
            <w:tcW w:w="458" w:type="pct"/>
            <w:shd w:val="clear" w:color="auto" w:fill="auto"/>
            <w:noWrap/>
            <w:vAlign w:val="center"/>
          </w:tcPr>
          <w:p w14:paraId="2ED5036C" w14:textId="77777777" w:rsidR="003D6288" w:rsidRPr="00AF391B" w:rsidRDefault="003D6288" w:rsidP="00AB0FEE">
            <w:pPr>
              <w:spacing w:after="0" w:line="240" w:lineRule="auto"/>
              <w:jc w:val="center"/>
              <w:rPr>
                <w:rFonts w:cstheme="minorHAnsi"/>
                <w:b/>
                <w:color w:val="FFFFFF"/>
                <w:sz w:val="24"/>
                <w:szCs w:val="24"/>
              </w:rPr>
            </w:pPr>
          </w:p>
        </w:tc>
        <w:tc>
          <w:tcPr>
            <w:tcW w:w="458" w:type="pct"/>
            <w:shd w:val="clear" w:color="auto" w:fill="auto"/>
            <w:noWrap/>
            <w:vAlign w:val="center"/>
          </w:tcPr>
          <w:p w14:paraId="3CF11F53" w14:textId="77777777" w:rsidR="003D6288" w:rsidRPr="00AF391B" w:rsidRDefault="003D6288" w:rsidP="00AB0FEE">
            <w:pPr>
              <w:spacing w:after="0" w:line="240" w:lineRule="auto"/>
              <w:jc w:val="center"/>
              <w:rPr>
                <w:rFonts w:cstheme="minorHAnsi"/>
                <w:b/>
                <w:color w:val="FFFFFF"/>
                <w:sz w:val="24"/>
                <w:szCs w:val="24"/>
              </w:rPr>
            </w:pPr>
          </w:p>
        </w:tc>
        <w:tc>
          <w:tcPr>
            <w:tcW w:w="458" w:type="pct"/>
            <w:shd w:val="clear" w:color="auto" w:fill="auto"/>
            <w:noWrap/>
            <w:vAlign w:val="center"/>
          </w:tcPr>
          <w:p w14:paraId="094B8BDF" w14:textId="77777777" w:rsidR="003D6288" w:rsidRPr="00AF391B" w:rsidRDefault="003D6288" w:rsidP="00AB0FEE">
            <w:pPr>
              <w:spacing w:after="0" w:line="240" w:lineRule="auto"/>
              <w:jc w:val="center"/>
              <w:rPr>
                <w:rFonts w:cstheme="minorHAnsi"/>
                <w:b/>
                <w:color w:val="FFFFFF"/>
                <w:sz w:val="24"/>
                <w:szCs w:val="24"/>
              </w:rPr>
            </w:pPr>
          </w:p>
        </w:tc>
        <w:tc>
          <w:tcPr>
            <w:tcW w:w="458" w:type="pct"/>
            <w:shd w:val="clear" w:color="auto" w:fill="auto"/>
            <w:noWrap/>
            <w:vAlign w:val="center"/>
          </w:tcPr>
          <w:p w14:paraId="32419FE3" w14:textId="77777777" w:rsidR="003D6288" w:rsidRPr="00AF391B" w:rsidRDefault="003D6288" w:rsidP="00AB0FEE">
            <w:pPr>
              <w:spacing w:after="0" w:line="240" w:lineRule="auto"/>
              <w:jc w:val="center"/>
              <w:rPr>
                <w:rFonts w:cstheme="minorHAnsi"/>
                <w:b/>
                <w:color w:val="FFFFFF"/>
                <w:sz w:val="24"/>
                <w:szCs w:val="24"/>
              </w:rPr>
            </w:pPr>
          </w:p>
        </w:tc>
        <w:tc>
          <w:tcPr>
            <w:tcW w:w="458" w:type="pct"/>
            <w:shd w:val="clear" w:color="auto" w:fill="auto"/>
            <w:noWrap/>
            <w:vAlign w:val="center"/>
          </w:tcPr>
          <w:p w14:paraId="1A9F91F2" w14:textId="77777777" w:rsidR="003D6288" w:rsidRPr="00AF391B" w:rsidRDefault="003D6288" w:rsidP="00AB0FEE">
            <w:pPr>
              <w:spacing w:after="0" w:line="240" w:lineRule="auto"/>
              <w:jc w:val="center"/>
              <w:rPr>
                <w:rFonts w:cstheme="minorHAnsi"/>
                <w:b/>
                <w:color w:val="FFFFFF"/>
                <w:sz w:val="24"/>
                <w:szCs w:val="24"/>
              </w:rPr>
            </w:pPr>
          </w:p>
        </w:tc>
      </w:tr>
      <w:tr w:rsidR="003D6288" w:rsidRPr="00AF391B" w14:paraId="726B3791" w14:textId="77777777" w:rsidTr="00F91E6F">
        <w:trPr>
          <w:trHeight w:val="300"/>
        </w:trPr>
        <w:tc>
          <w:tcPr>
            <w:tcW w:w="1327" w:type="pct"/>
            <w:shd w:val="clear" w:color="auto" w:fill="BDD6EE" w:themeFill="accent1" w:themeFillTint="66"/>
            <w:noWrap/>
            <w:vAlign w:val="center"/>
          </w:tcPr>
          <w:p w14:paraId="280FFD88"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Installed Capacity PV, MW</w:t>
            </w:r>
          </w:p>
        </w:tc>
        <w:tc>
          <w:tcPr>
            <w:tcW w:w="925" w:type="pct"/>
            <w:shd w:val="clear" w:color="auto" w:fill="00B0F0"/>
            <w:noWrap/>
            <w:vAlign w:val="center"/>
          </w:tcPr>
          <w:p w14:paraId="087E188F"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2020</w:t>
            </w:r>
          </w:p>
        </w:tc>
        <w:tc>
          <w:tcPr>
            <w:tcW w:w="458" w:type="pct"/>
            <w:shd w:val="clear" w:color="auto" w:fill="00B0F0"/>
            <w:noWrap/>
            <w:vAlign w:val="center"/>
          </w:tcPr>
          <w:p w14:paraId="6880EABB"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2025</w:t>
            </w:r>
          </w:p>
        </w:tc>
        <w:tc>
          <w:tcPr>
            <w:tcW w:w="458" w:type="pct"/>
            <w:shd w:val="clear" w:color="auto" w:fill="00B0F0"/>
            <w:noWrap/>
            <w:vAlign w:val="center"/>
          </w:tcPr>
          <w:p w14:paraId="34B9FE65"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2030</w:t>
            </w:r>
          </w:p>
        </w:tc>
        <w:tc>
          <w:tcPr>
            <w:tcW w:w="458" w:type="pct"/>
            <w:shd w:val="clear" w:color="auto" w:fill="00B0F0"/>
            <w:noWrap/>
            <w:vAlign w:val="center"/>
          </w:tcPr>
          <w:p w14:paraId="5E614933"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2035</w:t>
            </w:r>
          </w:p>
        </w:tc>
        <w:tc>
          <w:tcPr>
            <w:tcW w:w="458" w:type="pct"/>
            <w:shd w:val="clear" w:color="auto" w:fill="00B0F0"/>
            <w:noWrap/>
            <w:vAlign w:val="center"/>
          </w:tcPr>
          <w:p w14:paraId="55420191"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2040</w:t>
            </w:r>
          </w:p>
        </w:tc>
        <w:tc>
          <w:tcPr>
            <w:tcW w:w="458" w:type="pct"/>
            <w:shd w:val="clear" w:color="auto" w:fill="00B0F0"/>
            <w:noWrap/>
            <w:vAlign w:val="center"/>
          </w:tcPr>
          <w:p w14:paraId="604301EC"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2045</w:t>
            </w:r>
          </w:p>
        </w:tc>
        <w:tc>
          <w:tcPr>
            <w:tcW w:w="458" w:type="pct"/>
            <w:shd w:val="clear" w:color="auto" w:fill="00B0F0"/>
            <w:noWrap/>
            <w:vAlign w:val="center"/>
          </w:tcPr>
          <w:p w14:paraId="05ADAA4E" w14:textId="77777777" w:rsidR="003D6288" w:rsidRPr="00AF391B" w:rsidRDefault="003D6288" w:rsidP="00AB0FEE">
            <w:pPr>
              <w:spacing w:after="0" w:line="240" w:lineRule="auto"/>
              <w:jc w:val="center"/>
              <w:rPr>
                <w:rFonts w:cstheme="minorHAnsi"/>
                <w:b/>
                <w:color w:val="FFFFFF"/>
                <w:sz w:val="24"/>
                <w:szCs w:val="24"/>
              </w:rPr>
            </w:pPr>
            <w:r w:rsidRPr="00AF391B">
              <w:rPr>
                <w:rFonts w:cstheme="minorHAnsi"/>
                <w:b/>
                <w:color w:val="FFFFFF"/>
                <w:sz w:val="24"/>
                <w:szCs w:val="24"/>
              </w:rPr>
              <w:t>2050</w:t>
            </w:r>
          </w:p>
        </w:tc>
      </w:tr>
      <w:tr w:rsidR="003D6288" w:rsidRPr="00AF391B" w14:paraId="745F44D5" w14:textId="77777777" w:rsidTr="00F91E6F">
        <w:trPr>
          <w:trHeight w:val="300"/>
        </w:trPr>
        <w:tc>
          <w:tcPr>
            <w:tcW w:w="1327" w:type="pct"/>
            <w:shd w:val="clear" w:color="auto" w:fill="auto"/>
            <w:noWrap/>
            <w:vAlign w:val="center"/>
          </w:tcPr>
          <w:p w14:paraId="163FAF96"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WEM</w:t>
            </w:r>
          </w:p>
        </w:tc>
        <w:tc>
          <w:tcPr>
            <w:tcW w:w="925" w:type="pct"/>
            <w:shd w:val="clear" w:color="auto" w:fill="D0CECE" w:themeFill="background2" w:themeFillShade="E6"/>
            <w:noWrap/>
            <w:vAlign w:val="bottom"/>
          </w:tcPr>
          <w:p w14:paraId="243FD55A"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w:t>
            </w:r>
          </w:p>
        </w:tc>
        <w:tc>
          <w:tcPr>
            <w:tcW w:w="458" w:type="pct"/>
            <w:shd w:val="clear" w:color="auto" w:fill="D0CECE" w:themeFill="background2" w:themeFillShade="E6"/>
            <w:noWrap/>
            <w:vAlign w:val="bottom"/>
          </w:tcPr>
          <w:p w14:paraId="3FE89897"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105</w:t>
            </w:r>
          </w:p>
        </w:tc>
        <w:tc>
          <w:tcPr>
            <w:tcW w:w="458" w:type="pct"/>
            <w:shd w:val="clear" w:color="auto" w:fill="D0CECE" w:themeFill="background2" w:themeFillShade="E6"/>
            <w:noWrap/>
            <w:vAlign w:val="bottom"/>
          </w:tcPr>
          <w:p w14:paraId="5932A9DA"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155</w:t>
            </w:r>
          </w:p>
        </w:tc>
        <w:tc>
          <w:tcPr>
            <w:tcW w:w="458" w:type="pct"/>
            <w:shd w:val="clear" w:color="auto" w:fill="auto"/>
            <w:noWrap/>
            <w:vAlign w:val="bottom"/>
          </w:tcPr>
          <w:p w14:paraId="07AAF79A"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155</w:t>
            </w:r>
          </w:p>
        </w:tc>
        <w:tc>
          <w:tcPr>
            <w:tcW w:w="458" w:type="pct"/>
            <w:shd w:val="clear" w:color="auto" w:fill="auto"/>
            <w:noWrap/>
            <w:vAlign w:val="bottom"/>
          </w:tcPr>
          <w:p w14:paraId="44E97589"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187</w:t>
            </w:r>
          </w:p>
        </w:tc>
        <w:tc>
          <w:tcPr>
            <w:tcW w:w="458" w:type="pct"/>
            <w:shd w:val="clear" w:color="auto" w:fill="auto"/>
            <w:noWrap/>
            <w:vAlign w:val="bottom"/>
          </w:tcPr>
          <w:p w14:paraId="4B4ED126"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184</w:t>
            </w:r>
          </w:p>
        </w:tc>
        <w:tc>
          <w:tcPr>
            <w:tcW w:w="458" w:type="pct"/>
            <w:shd w:val="clear" w:color="auto" w:fill="auto"/>
            <w:noWrap/>
            <w:vAlign w:val="bottom"/>
          </w:tcPr>
          <w:p w14:paraId="29BA8A7A"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248</w:t>
            </w:r>
          </w:p>
        </w:tc>
      </w:tr>
      <w:tr w:rsidR="003D6288" w:rsidRPr="00AF391B" w14:paraId="4C67D1E6" w14:textId="77777777" w:rsidTr="00F91E6F">
        <w:trPr>
          <w:trHeight w:val="300"/>
        </w:trPr>
        <w:tc>
          <w:tcPr>
            <w:tcW w:w="1327" w:type="pct"/>
            <w:shd w:val="clear" w:color="auto" w:fill="auto"/>
            <w:noWrap/>
            <w:vAlign w:val="center"/>
          </w:tcPr>
          <w:p w14:paraId="05E08968" w14:textId="77777777" w:rsidR="003D6288" w:rsidRPr="00AF391B" w:rsidRDefault="003D6288" w:rsidP="00AB0FEE">
            <w:pPr>
              <w:spacing w:after="0" w:line="240" w:lineRule="auto"/>
              <w:rPr>
                <w:rFonts w:cstheme="minorHAnsi"/>
                <w:color w:val="000000"/>
                <w:sz w:val="24"/>
                <w:szCs w:val="24"/>
              </w:rPr>
            </w:pPr>
            <w:r w:rsidRPr="00AF391B">
              <w:rPr>
                <w:rFonts w:cstheme="minorHAnsi"/>
                <w:color w:val="000000"/>
                <w:sz w:val="24"/>
                <w:szCs w:val="24"/>
              </w:rPr>
              <w:t>WPM</w:t>
            </w:r>
          </w:p>
        </w:tc>
        <w:tc>
          <w:tcPr>
            <w:tcW w:w="925" w:type="pct"/>
            <w:shd w:val="clear" w:color="auto" w:fill="D0CECE" w:themeFill="background2" w:themeFillShade="E6"/>
            <w:noWrap/>
            <w:vAlign w:val="bottom"/>
          </w:tcPr>
          <w:p w14:paraId="12040F29"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5</w:t>
            </w:r>
          </w:p>
        </w:tc>
        <w:tc>
          <w:tcPr>
            <w:tcW w:w="458" w:type="pct"/>
            <w:shd w:val="clear" w:color="auto" w:fill="D0CECE" w:themeFill="background2" w:themeFillShade="E6"/>
            <w:noWrap/>
            <w:vAlign w:val="bottom"/>
          </w:tcPr>
          <w:p w14:paraId="40C64A19"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187</w:t>
            </w:r>
          </w:p>
        </w:tc>
        <w:tc>
          <w:tcPr>
            <w:tcW w:w="458" w:type="pct"/>
            <w:shd w:val="clear" w:color="auto" w:fill="D0CECE" w:themeFill="background2" w:themeFillShade="E6"/>
            <w:noWrap/>
            <w:vAlign w:val="bottom"/>
          </w:tcPr>
          <w:p w14:paraId="12156F63"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215</w:t>
            </w:r>
          </w:p>
        </w:tc>
        <w:tc>
          <w:tcPr>
            <w:tcW w:w="458" w:type="pct"/>
            <w:shd w:val="clear" w:color="auto" w:fill="auto"/>
            <w:noWrap/>
            <w:vAlign w:val="bottom"/>
          </w:tcPr>
          <w:p w14:paraId="5B5ED552"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312</w:t>
            </w:r>
          </w:p>
        </w:tc>
        <w:tc>
          <w:tcPr>
            <w:tcW w:w="458" w:type="pct"/>
            <w:shd w:val="clear" w:color="auto" w:fill="auto"/>
            <w:noWrap/>
            <w:vAlign w:val="bottom"/>
          </w:tcPr>
          <w:p w14:paraId="602A9902"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413</w:t>
            </w:r>
          </w:p>
        </w:tc>
        <w:tc>
          <w:tcPr>
            <w:tcW w:w="458" w:type="pct"/>
            <w:shd w:val="clear" w:color="auto" w:fill="auto"/>
            <w:noWrap/>
            <w:vAlign w:val="bottom"/>
          </w:tcPr>
          <w:p w14:paraId="5D3CC2FB" w14:textId="77777777" w:rsidR="003D6288" w:rsidRPr="00AF391B" w:rsidRDefault="003D6288" w:rsidP="00AB0FEE">
            <w:pPr>
              <w:spacing w:after="0" w:line="240" w:lineRule="auto"/>
              <w:jc w:val="center"/>
              <w:rPr>
                <w:rFonts w:cstheme="minorHAnsi"/>
                <w:sz w:val="24"/>
                <w:szCs w:val="24"/>
              </w:rPr>
            </w:pPr>
            <w:r w:rsidRPr="00AF391B">
              <w:rPr>
                <w:rFonts w:cstheme="minorHAnsi"/>
                <w:sz w:val="24"/>
                <w:szCs w:val="24"/>
              </w:rPr>
              <w:t>490</w:t>
            </w:r>
          </w:p>
        </w:tc>
        <w:tc>
          <w:tcPr>
            <w:tcW w:w="458" w:type="pct"/>
            <w:shd w:val="clear" w:color="auto" w:fill="auto"/>
            <w:noWrap/>
            <w:vAlign w:val="bottom"/>
          </w:tcPr>
          <w:p w14:paraId="7F110E8A" w14:textId="77777777" w:rsidR="003D6288" w:rsidRPr="00AF391B" w:rsidRDefault="003D6288" w:rsidP="00AB0FEE">
            <w:pPr>
              <w:spacing w:after="0" w:line="240" w:lineRule="auto"/>
              <w:jc w:val="center"/>
              <w:rPr>
                <w:rFonts w:eastAsia="Times New Roman" w:cstheme="minorHAnsi"/>
                <w:sz w:val="24"/>
                <w:szCs w:val="24"/>
              </w:rPr>
            </w:pPr>
            <w:r w:rsidRPr="00AF391B">
              <w:rPr>
                <w:rFonts w:cstheme="minorHAnsi"/>
                <w:sz w:val="24"/>
                <w:szCs w:val="24"/>
              </w:rPr>
              <w:t>561</w:t>
            </w:r>
          </w:p>
        </w:tc>
      </w:tr>
    </w:tbl>
    <w:p w14:paraId="45EC3182" w14:textId="77777777" w:rsidR="003D6288" w:rsidRPr="00AF391B" w:rsidRDefault="003D6288" w:rsidP="00463B32">
      <w:pPr>
        <w:spacing w:before="120" w:after="120"/>
        <w:jc w:val="both"/>
        <w:rPr>
          <w:rFonts w:cstheme="minorHAnsi"/>
          <w:sz w:val="24"/>
          <w:szCs w:val="24"/>
          <w:lang w:val="en-US"/>
        </w:rPr>
      </w:pPr>
      <w:r w:rsidRPr="00AF391B">
        <w:rPr>
          <w:rFonts w:cstheme="minorHAnsi"/>
          <w:sz w:val="24"/>
          <w:szCs w:val="24"/>
          <w:lang w:val="en-US"/>
        </w:rPr>
        <w:t>Figure 1 shows the evolution of GHG emissions up to 2050 in the WPM scenario for the Right bank of the Dniester River. In 2050 the GHG emissions, including LULUCF sector, are estimated to be 915 kt CO</w:t>
      </w:r>
      <w:r w:rsidRPr="00AF391B">
        <w:rPr>
          <w:rFonts w:cstheme="minorHAnsi"/>
          <w:sz w:val="24"/>
          <w:szCs w:val="24"/>
          <w:vertAlign w:val="subscript"/>
          <w:lang w:val="en-US"/>
        </w:rPr>
        <w:t xml:space="preserve">2 </w:t>
      </w:r>
      <w:r w:rsidRPr="00AF391B">
        <w:rPr>
          <w:rFonts w:cstheme="minorHAnsi"/>
          <w:sz w:val="24"/>
          <w:szCs w:val="24"/>
          <w:lang w:val="en-US"/>
        </w:rPr>
        <w:t>eq. Moldova is planning to set up the objective to attain climate neutrality in 2050. Th</w:t>
      </w:r>
      <w:r w:rsidR="00F91E6F" w:rsidRPr="00AF391B">
        <w:rPr>
          <w:rFonts w:cstheme="minorHAnsi"/>
          <w:sz w:val="24"/>
          <w:szCs w:val="24"/>
          <w:lang w:val="en-US"/>
        </w:rPr>
        <w:t xml:space="preserve">erefore, </w:t>
      </w:r>
      <w:r w:rsidRPr="00AF391B">
        <w:rPr>
          <w:rFonts w:cstheme="minorHAnsi"/>
          <w:sz w:val="24"/>
          <w:szCs w:val="24"/>
          <w:lang w:val="en-US"/>
        </w:rPr>
        <w:t>additional measures should be identified for this purpose starting from 2035.</w:t>
      </w:r>
    </w:p>
    <w:p w14:paraId="1134109C" w14:textId="77777777" w:rsidR="003D6288" w:rsidRPr="00AF391B" w:rsidRDefault="003D6288" w:rsidP="003D6288">
      <w:pPr>
        <w:jc w:val="center"/>
        <w:rPr>
          <w:rFonts w:cstheme="minorHAnsi"/>
          <w:sz w:val="24"/>
          <w:szCs w:val="24"/>
        </w:rPr>
      </w:pPr>
      <w:r w:rsidRPr="00AF391B">
        <w:rPr>
          <w:rFonts w:cstheme="minorHAnsi"/>
          <w:noProof/>
          <w:sz w:val="24"/>
          <w:szCs w:val="24"/>
          <w:lang w:val="en-GB" w:eastAsia="en-GB"/>
        </w:rPr>
        <w:lastRenderedPageBreak/>
        <w:drawing>
          <wp:inline distT="0" distB="0" distL="0" distR="0" wp14:anchorId="0DC3F973" wp14:editId="3245635B">
            <wp:extent cx="4572000" cy="2743200"/>
            <wp:effectExtent l="0" t="0" r="0" b="0"/>
            <wp:docPr id="340043718"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FF1A4DE-A149-153D-2D17-0BED3653F6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6DF5FC" w14:textId="77777777" w:rsidR="003D6288" w:rsidRPr="00AF391B" w:rsidRDefault="003D6288" w:rsidP="00F91E6F">
      <w:pPr>
        <w:pStyle w:val="Caption"/>
        <w:spacing w:after="120"/>
        <w:jc w:val="center"/>
        <w:rPr>
          <w:rFonts w:cstheme="minorHAnsi"/>
          <w:color w:val="auto"/>
          <w:sz w:val="24"/>
          <w:szCs w:val="24"/>
          <w:lang w:val="en-US"/>
        </w:rPr>
      </w:pPr>
      <w:bookmarkStart w:id="4" w:name="_Toc153298711"/>
      <w:r w:rsidRPr="00AF391B">
        <w:rPr>
          <w:rFonts w:cstheme="minorHAnsi"/>
          <w:color w:val="auto"/>
          <w:sz w:val="24"/>
          <w:szCs w:val="24"/>
          <w:lang w:val="en-US"/>
        </w:rPr>
        <w:t xml:space="preserve">Figure </w:t>
      </w:r>
      <w:r w:rsidRPr="00AF391B">
        <w:rPr>
          <w:rFonts w:cstheme="minorHAnsi"/>
          <w:color w:val="auto"/>
          <w:sz w:val="24"/>
          <w:szCs w:val="24"/>
        </w:rPr>
        <w:fldChar w:fldCharType="begin"/>
      </w:r>
      <w:r w:rsidRPr="00AF391B">
        <w:rPr>
          <w:rFonts w:cstheme="minorHAnsi"/>
          <w:color w:val="auto"/>
          <w:sz w:val="24"/>
          <w:szCs w:val="24"/>
          <w:lang w:val="en-US"/>
        </w:rPr>
        <w:instrText xml:space="preserve"> SEQ Figure \* ARABIC </w:instrText>
      </w:r>
      <w:r w:rsidRPr="00AF391B">
        <w:rPr>
          <w:rFonts w:cstheme="minorHAnsi"/>
          <w:color w:val="auto"/>
          <w:sz w:val="24"/>
          <w:szCs w:val="24"/>
        </w:rPr>
        <w:fldChar w:fldCharType="separate"/>
      </w:r>
      <w:r w:rsidRPr="00AF391B">
        <w:rPr>
          <w:rFonts w:cstheme="minorHAnsi"/>
          <w:noProof/>
          <w:color w:val="auto"/>
          <w:sz w:val="24"/>
          <w:szCs w:val="24"/>
          <w:lang w:val="en-US"/>
        </w:rPr>
        <w:t>1</w:t>
      </w:r>
      <w:r w:rsidRPr="00AF391B">
        <w:rPr>
          <w:rFonts w:cstheme="minorHAnsi"/>
          <w:color w:val="auto"/>
          <w:sz w:val="24"/>
          <w:szCs w:val="24"/>
        </w:rPr>
        <w:fldChar w:fldCharType="end"/>
      </w:r>
      <w:r w:rsidRPr="00AF391B">
        <w:rPr>
          <w:rFonts w:cstheme="minorHAnsi"/>
          <w:color w:val="auto"/>
          <w:sz w:val="24"/>
          <w:szCs w:val="24"/>
          <w:lang w:val="en-US"/>
        </w:rPr>
        <w:t>. Projected GHG emissions of the Right bank of the Dniester River up to the year 2050</w:t>
      </w:r>
      <w:bookmarkEnd w:id="4"/>
    </w:p>
    <w:p w14:paraId="368278B3" w14:textId="77777777" w:rsidR="003D6288" w:rsidRPr="00AF391B" w:rsidRDefault="003D6288" w:rsidP="00463B32">
      <w:pPr>
        <w:spacing w:after="120"/>
        <w:jc w:val="both"/>
        <w:rPr>
          <w:rFonts w:cstheme="minorHAnsi"/>
          <w:sz w:val="24"/>
          <w:szCs w:val="24"/>
          <w:lang w:val="en-US"/>
        </w:rPr>
      </w:pPr>
      <w:r w:rsidRPr="00AF391B">
        <w:rPr>
          <w:rFonts w:cstheme="minorHAnsi"/>
          <w:sz w:val="24"/>
          <w:szCs w:val="24"/>
          <w:lang w:val="en-US"/>
        </w:rPr>
        <w:t xml:space="preserve">Figure 2 shows the projections of GHG emissions for the entire territory of the Republic of Moldova up to the year 2050. </w:t>
      </w:r>
    </w:p>
    <w:p w14:paraId="465D2EB0" w14:textId="77777777" w:rsidR="003D6288" w:rsidRPr="00AF391B" w:rsidRDefault="003D6288" w:rsidP="003D6288">
      <w:pPr>
        <w:pStyle w:val="Caption"/>
        <w:jc w:val="center"/>
        <w:rPr>
          <w:rFonts w:cstheme="minorHAnsi"/>
          <w:color w:val="auto"/>
          <w:sz w:val="24"/>
          <w:szCs w:val="24"/>
          <w:lang w:val="en-US"/>
        </w:rPr>
      </w:pPr>
      <w:r w:rsidRPr="00AF391B">
        <w:rPr>
          <w:rFonts w:cstheme="minorHAnsi"/>
          <w:noProof/>
          <w:sz w:val="24"/>
          <w:szCs w:val="24"/>
          <w:lang w:val="en-GB" w:eastAsia="en-GB"/>
        </w:rPr>
        <w:drawing>
          <wp:inline distT="0" distB="0" distL="0" distR="0" wp14:anchorId="2B0164D7" wp14:editId="6F864A38">
            <wp:extent cx="4572000" cy="2749550"/>
            <wp:effectExtent l="0" t="0" r="0" b="12700"/>
            <wp:docPr id="1334721089"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C9BC6BF-B6F1-5119-7B2D-5AA260E8EC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D4F099" w14:textId="77777777" w:rsidR="003D6288" w:rsidRPr="00AF391B" w:rsidRDefault="003D6288" w:rsidP="003D6288">
      <w:pPr>
        <w:pStyle w:val="Caption"/>
        <w:jc w:val="center"/>
        <w:rPr>
          <w:rFonts w:cstheme="minorHAnsi"/>
          <w:color w:val="auto"/>
          <w:sz w:val="24"/>
          <w:szCs w:val="24"/>
          <w:lang w:val="en-US"/>
        </w:rPr>
      </w:pPr>
      <w:bookmarkStart w:id="5" w:name="_Toc153298712"/>
      <w:r w:rsidRPr="00AF391B">
        <w:rPr>
          <w:rFonts w:cstheme="minorHAnsi"/>
          <w:color w:val="auto"/>
          <w:sz w:val="24"/>
          <w:szCs w:val="24"/>
          <w:lang w:val="en-US"/>
        </w:rPr>
        <w:t xml:space="preserve">Figure </w:t>
      </w:r>
      <w:r w:rsidRPr="00AF391B">
        <w:rPr>
          <w:rFonts w:cstheme="minorHAnsi"/>
          <w:color w:val="auto"/>
          <w:sz w:val="24"/>
          <w:szCs w:val="24"/>
        </w:rPr>
        <w:fldChar w:fldCharType="begin"/>
      </w:r>
      <w:r w:rsidRPr="00AF391B">
        <w:rPr>
          <w:rFonts w:cstheme="minorHAnsi"/>
          <w:color w:val="auto"/>
          <w:sz w:val="24"/>
          <w:szCs w:val="24"/>
          <w:lang w:val="en-US"/>
        </w:rPr>
        <w:instrText xml:space="preserve"> SEQ Figure \* ARABIC </w:instrText>
      </w:r>
      <w:r w:rsidRPr="00AF391B">
        <w:rPr>
          <w:rFonts w:cstheme="minorHAnsi"/>
          <w:color w:val="auto"/>
          <w:sz w:val="24"/>
          <w:szCs w:val="24"/>
        </w:rPr>
        <w:fldChar w:fldCharType="separate"/>
      </w:r>
      <w:r w:rsidRPr="00AF391B">
        <w:rPr>
          <w:rFonts w:cstheme="minorHAnsi"/>
          <w:noProof/>
          <w:color w:val="auto"/>
          <w:sz w:val="24"/>
          <w:szCs w:val="24"/>
          <w:lang w:val="en-US"/>
        </w:rPr>
        <w:t>2</w:t>
      </w:r>
      <w:r w:rsidRPr="00AF391B">
        <w:rPr>
          <w:rFonts w:cstheme="minorHAnsi"/>
          <w:color w:val="auto"/>
          <w:sz w:val="24"/>
          <w:szCs w:val="24"/>
        </w:rPr>
        <w:fldChar w:fldCharType="end"/>
      </w:r>
      <w:r w:rsidRPr="00AF391B">
        <w:rPr>
          <w:rFonts w:cstheme="minorHAnsi"/>
          <w:color w:val="auto"/>
          <w:sz w:val="24"/>
          <w:szCs w:val="24"/>
          <w:lang w:val="en-US"/>
        </w:rPr>
        <w:t>. Projected GHG emissions of Moldova (entire territory) up to the year 2050</w:t>
      </w:r>
      <w:bookmarkEnd w:id="5"/>
    </w:p>
    <w:p w14:paraId="271F158B" w14:textId="77777777" w:rsidR="00CA2CC3" w:rsidRPr="00AF391B" w:rsidRDefault="00CA2CC3" w:rsidP="00CA2CC3">
      <w:pPr>
        <w:rPr>
          <w:rFonts w:cstheme="minorHAnsi"/>
          <w:sz w:val="24"/>
          <w:szCs w:val="24"/>
          <w:lang w:val="en-US"/>
        </w:rPr>
        <w:sectPr w:rsidR="00CA2CC3" w:rsidRPr="00AF391B" w:rsidSect="00C30B22">
          <w:pgSz w:w="11906" w:h="16838"/>
          <w:pgMar w:top="1417" w:right="1417" w:bottom="1417" w:left="1417" w:header="708" w:footer="708" w:gutter="0"/>
          <w:cols w:space="708"/>
          <w:docGrid w:linePitch="360"/>
        </w:sectPr>
      </w:pPr>
    </w:p>
    <w:p w14:paraId="6E8A47FD" w14:textId="77777777" w:rsidR="00CA2CC3" w:rsidRPr="00AF391B" w:rsidRDefault="00CA2CC3" w:rsidP="00B6327C">
      <w:pPr>
        <w:pStyle w:val="ListParagraph"/>
        <w:numPr>
          <w:ilvl w:val="0"/>
          <w:numId w:val="11"/>
        </w:numPr>
        <w:jc w:val="both"/>
        <w:rPr>
          <w:rFonts w:cstheme="minorHAnsi"/>
          <w:b/>
          <w:sz w:val="24"/>
          <w:szCs w:val="24"/>
        </w:rPr>
      </w:pPr>
      <w:r w:rsidRPr="00AF391B">
        <w:rPr>
          <w:rFonts w:cstheme="minorHAnsi"/>
          <w:b/>
          <w:sz w:val="24"/>
          <w:szCs w:val="24"/>
        </w:rPr>
        <w:lastRenderedPageBreak/>
        <w:t xml:space="preserve"> Policies and Measures</w:t>
      </w:r>
    </w:p>
    <w:p w14:paraId="49F8B496" w14:textId="77777777" w:rsidR="00CA2CC3" w:rsidRPr="00AF391B" w:rsidRDefault="00CA2CC3" w:rsidP="00CA2CC3">
      <w:pPr>
        <w:jc w:val="both"/>
        <w:rPr>
          <w:rFonts w:cstheme="minorHAnsi"/>
          <w:sz w:val="24"/>
          <w:szCs w:val="24"/>
          <w:lang w:val="en-US"/>
        </w:rPr>
      </w:pPr>
      <w:r w:rsidRPr="00AF391B">
        <w:rPr>
          <w:rFonts w:cstheme="minorHAnsi"/>
          <w:sz w:val="24"/>
          <w:szCs w:val="24"/>
          <w:lang w:val="en-US"/>
        </w:rPr>
        <w:t>The overview table</w:t>
      </w:r>
      <w:r w:rsidR="00E02794" w:rsidRPr="00AF391B">
        <w:rPr>
          <w:rFonts w:cstheme="minorHAnsi"/>
          <w:sz w:val="24"/>
          <w:szCs w:val="24"/>
          <w:lang w:val="en-US"/>
        </w:rPr>
        <w:t xml:space="preserve"> 2</w:t>
      </w:r>
      <w:r w:rsidRPr="00AF391B">
        <w:rPr>
          <w:rFonts w:cstheme="minorHAnsi"/>
          <w:sz w:val="24"/>
          <w:szCs w:val="24"/>
          <w:lang w:val="en-US"/>
        </w:rPr>
        <w:t xml:space="preserve"> below presents the 99 policy measures contained in Chapter </w:t>
      </w:r>
      <w:r w:rsidRPr="00AF391B">
        <w:rPr>
          <w:rFonts w:cstheme="minorHAnsi"/>
          <w:i/>
          <w:sz w:val="24"/>
          <w:szCs w:val="24"/>
          <w:lang w:val="en-US"/>
        </w:rPr>
        <w:t>3. POLICIES AND MEASURES</w:t>
      </w:r>
      <w:r w:rsidRPr="00AF391B">
        <w:rPr>
          <w:rFonts w:cstheme="minorHAnsi"/>
          <w:sz w:val="24"/>
          <w:szCs w:val="24"/>
          <w:lang w:val="en-US"/>
        </w:rPr>
        <w:t xml:space="preserve"> of the NECP. Each policy measure is attributed a code in the format PM_XXi, the abbreviation XX is specific to each of the 5 dimensions, and i being the order number, as in the text of the NECP. Alongside the title, the policy measure code and its main objective, each insert presented in the NECP contains: description, the implementation timeframe, type of measure, sectors covered/affected, implementing entity, monitoring entity, progress indicators, relevant Energy Union dimension(s) affected, EU policy which resulted in the implementation of the measure, relevant national planning document(s), an estimation of implementation costs and financing source(s). </w:t>
      </w:r>
    </w:p>
    <w:p w14:paraId="6534CC1C" w14:textId="77777777" w:rsidR="00ED29CF" w:rsidRPr="00AF391B" w:rsidRDefault="00ED29CF" w:rsidP="00ED29CF">
      <w:pPr>
        <w:pStyle w:val="Caption"/>
        <w:rPr>
          <w:rFonts w:cstheme="minorHAnsi"/>
          <w:b/>
          <w:color w:val="auto"/>
          <w:sz w:val="24"/>
          <w:szCs w:val="24"/>
          <w:lang w:val="en-GB"/>
        </w:rPr>
      </w:pPr>
      <w:r w:rsidRPr="00AF391B">
        <w:rPr>
          <w:rFonts w:cstheme="minorHAnsi"/>
          <w:b/>
          <w:color w:val="auto"/>
          <w:sz w:val="24"/>
          <w:szCs w:val="24"/>
          <w:lang w:val="en-GB"/>
        </w:rPr>
        <w:t>Table 2. Key objectives and Policy Measures for each of the 5 dimensions of the NECP</w:t>
      </w:r>
    </w:p>
    <w:tbl>
      <w:tblPr>
        <w:tblStyle w:val="TableGrid"/>
        <w:tblW w:w="0" w:type="auto"/>
        <w:tblLook w:val="04A0" w:firstRow="1" w:lastRow="0" w:firstColumn="1" w:lastColumn="0" w:noHBand="0" w:noVBand="1"/>
      </w:tblPr>
      <w:tblGrid>
        <w:gridCol w:w="1840"/>
        <w:gridCol w:w="3431"/>
        <w:gridCol w:w="8723"/>
      </w:tblGrid>
      <w:tr w:rsidR="00CA2CC3" w:rsidRPr="00AF391B" w14:paraId="79871881" w14:textId="77777777" w:rsidTr="00AB0FEE">
        <w:tc>
          <w:tcPr>
            <w:tcW w:w="1816" w:type="dxa"/>
          </w:tcPr>
          <w:p w14:paraId="35874469" w14:textId="77777777" w:rsidR="00CA2CC3" w:rsidRPr="00AF391B" w:rsidRDefault="00CA2CC3" w:rsidP="00AB0FEE">
            <w:pPr>
              <w:spacing w:before="120" w:after="120"/>
              <w:jc w:val="center"/>
              <w:rPr>
                <w:rFonts w:cstheme="minorHAnsi"/>
                <w:b/>
                <w:sz w:val="24"/>
                <w:szCs w:val="24"/>
                <w:lang w:val="en-US"/>
              </w:rPr>
            </w:pPr>
            <w:r w:rsidRPr="00AF391B">
              <w:rPr>
                <w:rFonts w:cstheme="minorHAnsi"/>
                <w:b/>
                <w:sz w:val="24"/>
                <w:szCs w:val="24"/>
                <w:lang w:val="en-US"/>
              </w:rPr>
              <w:t>Dimension</w:t>
            </w:r>
          </w:p>
        </w:tc>
        <w:tc>
          <w:tcPr>
            <w:tcW w:w="3435" w:type="dxa"/>
          </w:tcPr>
          <w:p w14:paraId="21583BC0" w14:textId="77777777" w:rsidR="00CA2CC3" w:rsidRPr="00AF391B" w:rsidRDefault="00CA2CC3" w:rsidP="00AB0FEE">
            <w:pPr>
              <w:spacing w:before="120" w:after="120"/>
              <w:jc w:val="center"/>
              <w:rPr>
                <w:rFonts w:cstheme="minorHAnsi"/>
                <w:b/>
                <w:sz w:val="24"/>
                <w:szCs w:val="24"/>
                <w:lang w:val="en-US"/>
              </w:rPr>
            </w:pPr>
            <w:r w:rsidRPr="00AF391B">
              <w:rPr>
                <w:rFonts w:cstheme="minorHAnsi"/>
                <w:b/>
                <w:sz w:val="24"/>
                <w:szCs w:val="24"/>
                <w:lang w:val="en-US"/>
              </w:rPr>
              <w:t>Key objectives</w:t>
            </w:r>
          </w:p>
        </w:tc>
        <w:tc>
          <w:tcPr>
            <w:tcW w:w="8743" w:type="dxa"/>
          </w:tcPr>
          <w:p w14:paraId="50F8F2CA" w14:textId="77777777" w:rsidR="00CA2CC3" w:rsidRPr="00AF391B" w:rsidRDefault="00CA2CC3" w:rsidP="00AB0FEE">
            <w:pPr>
              <w:spacing w:before="120" w:after="120"/>
              <w:jc w:val="center"/>
              <w:rPr>
                <w:rFonts w:cstheme="minorHAnsi"/>
                <w:b/>
                <w:sz w:val="24"/>
                <w:szCs w:val="24"/>
                <w:lang w:val="en-US"/>
              </w:rPr>
            </w:pPr>
            <w:r w:rsidRPr="00AF391B">
              <w:rPr>
                <w:rFonts w:cstheme="minorHAnsi"/>
                <w:b/>
                <w:sz w:val="24"/>
                <w:szCs w:val="24"/>
                <w:lang w:val="en-US"/>
              </w:rPr>
              <w:t>Policy Measures</w:t>
            </w:r>
          </w:p>
        </w:tc>
      </w:tr>
      <w:tr w:rsidR="00CA2CC3" w:rsidRPr="00E966AE" w14:paraId="632544CA" w14:textId="77777777" w:rsidTr="00AB0FEE">
        <w:tc>
          <w:tcPr>
            <w:tcW w:w="1816" w:type="dxa"/>
            <w:vMerge w:val="restart"/>
          </w:tcPr>
          <w:p w14:paraId="4EC406FF" w14:textId="745E696B" w:rsidR="00CA2CC3" w:rsidRPr="00AF391B" w:rsidRDefault="00CA2CC3" w:rsidP="00E966AE">
            <w:pPr>
              <w:jc w:val="both"/>
              <w:rPr>
                <w:rFonts w:cstheme="minorHAnsi"/>
                <w:sz w:val="24"/>
                <w:szCs w:val="24"/>
                <w:lang w:val="en-US"/>
              </w:rPr>
            </w:pPr>
            <w:r w:rsidRPr="00AF391B">
              <w:rPr>
                <w:rFonts w:cstheme="minorHAnsi"/>
                <w:sz w:val="24"/>
                <w:szCs w:val="24"/>
                <w:lang w:val="en-US"/>
              </w:rPr>
              <w:t>Decarbonization</w:t>
            </w:r>
          </w:p>
        </w:tc>
        <w:tc>
          <w:tcPr>
            <w:tcW w:w="3435" w:type="dxa"/>
            <w:vMerge w:val="restart"/>
          </w:tcPr>
          <w:p w14:paraId="514D4179" w14:textId="77777777" w:rsidR="00CA2CC3" w:rsidRPr="00AF391B" w:rsidRDefault="00CA2CC3" w:rsidP="00AB0FEE">
            <w:pPr>
              <w:jc w:val="both"/>
              <w:rPr>
                <w:rFonts w:cstheme="minorHAnsi"/>
                <w:sz w:val="24"/>
                <w:szCs w:val="24"/>
                <w:lang w:val="en-US"/>
              </w:rPr>
            </w:pPr>
            <w:r w:rsidRPr="00AF391B">
              <w:rPr>
                <w:rFonts w:cstheme="minorHAnsi"/>
                <w:sz w:val="24"/>
                <w:szCs w:val="24"/>
                <w:lang w:val="en-US"/>
              </w:rPr>
              <w:t>GHG emissions and removals:</w:t>
            </w:r>
          </w:p>
          <w:p w14:paraId="1BD59AD2" w14:textId="77777777" w:rsidR="00CA2CC3" w:rsidRPr="00AF391B" w:rsidRDefault="00CA2CC3" w:rsidP="00AB0FEE">
            <w:pPr>
              <w:jc w:val="both"/>
              <w:rPr>
                <w:rFonts w:cstheme="minorHAnsi"/>
                <w:sz w:val="24"/>
                <w:szCs w:val="24"/>
                <w:lang w:val="en-US"/>
              </w:rPr>
            </w:pPr>
          </w:p>
          <w:p w14:paraId="6CA13849" w14:textId="77777777" w:rsidR="00CA2CC3" w:rsidRPr="00AF391B" w:rsidRDefault="00CA2CC3" w:rsidP="00B6327C">
            <w:pPr>
              <w:pStyle w:val="ListParagraph"/>
              <w:numPr>
                <w:ilvl w:val="0"/>
                <w:numId w:val="12"/>
              </w:numPr>
              <w:jc w:val="both"/>
              <w:rPr>
                <w:rFonts w:cstheme="minorHAnsi"/>
                <w:sz w:val="24"/>
                <w:szCs w:val="24"/>
              </w:rPr>
            </w:pPr>
            <w:r w:rsidRPr="00AF391B">
              <w:rPr>
                <w:rFonts w:cstheme="minorHAnsi"/>
                <w:sz w:val="24"/>
                <w:szCs w:val="24"/>
              </w:rPr>
              <w:t>Carbon emissions reduction:</w:t>
            </w:r>
          </w:p>
          <w:p w14:paraId="7FF94C17" w14:textId="77777777" w:rsidR="00CA2CC3" w:rsidRPr="00AF391B" w:rsidRDefault="00CA2CC3" w:rsidP="00AB0FEE">
            <w:pPr>
              <w:jc w:val="both"/>
              <w:rPr>
                <w:rFonts w:cstheme="minorHAnsi"/>
                <w:sz w:val="24"/>
                <w:szCs w:val="24"/>
                <w:lang w:val="en-US"/>
              </w:rPr>
            </w:pPr>
          </w:p>
          <w:p w14:paraId="19E90D10" w14:textId="77777777" w:rsidR="00CA2CC3" w:rsidRPr="00AF391B" w:rsidRDefault="00CA2CC3" w:rsidP="00B6327C">
            <w:pPr>
              <w:pStyle w:val="ListParagraph"/>
              <w:numPr>
                <w:ilvl w:val="0"/>
                <w:numId w:val="12"/>
              </w:numPr>
              <w:jc w:val="both"/>
              <w:rPr>
                <w:rStyle w:val="fontstyle01"/>
                <w:rFonts w:asciiTheme="minorHAnsi" w:hAnsiTheme="minorHAnsi" w:cstheme="minorHAnsi"/>
                <w:sz w:val="24"/>
                <w:szCs w:val="24"/>
              </w:rPr>
            </w:pPr>
            <w:r w:rsidRPr="00AF391B">
              <w:rPr>
                <w:rStyle w:val="fontstyle01"/>
                <w:rFonts w:asciiTheme="minorHAnsi" w:hAnsiTheme="minorHAnsi" w:cstheme="minorHAnsi"/>
                <w:sz w:val="24"/>
                <w:szCs w:val="24"/>
              </w:rPr>
              <w:t>Fulfilling obligations of the Paris Agreement and of the Energy Community;</w:t>
            </w:r>
          </w:p>
          <w:p w14:paraId="1CA6D849" w14:textId="77777777" w:rsidR="00CA2CC3" w:rsidRPr="00AF391B" w:rsidRDefault="00CA2CC3" w:rsidP="00AB0FEE">
            <w:pPr>
              <w:jc w:val="both"/>
              <w:rPr>
                <w:rFonts w:cstheme="minorHAnsi"/>
                <w:sz w:val="24"/>
                <w:szCs w:val="24"/>
                <w:lang w:val="en-US"/>
              </w:rPr>
            </w:pPr>
          </w:p>
          <w:p w14:paraId="47C42835" w14:textId="77777777" w:rsidR="00CA2CC3" w:rsidRPr="00AF391B" w:rsidRDefault="00CA2CC3" w:rsidP="00B6327C">
            <w:pPr>
              <w:pStyle w:val="ListParagraph"/>
              <w:numPr>
                <w:ilvl w:val="0"/>
                <w:numId w:val="12"/>
              </w:numPr>
              <w:jc w:val="both"/>
              <w:rPr>
                <w:rStyle w:val="fontstyle01"/>
                <w:rFonts w:asciiTheme="minorHAnsi" w:hAnsiTheme="minorHAnsi" w:cstheme="minorHAnsi"/>
                <w:sz w:val="24"/>
                <w:szCs w:val="24"/>
              </w:rPr>
            </w:pPr>
            <w:r w:rsidRPr="00AF391B">
              <w:rPr>
                <w:rStyle w:val="fontstyle01"/>
                <w:rFonts w:asciiTheme="minorHAnsi" w:hAnsiTheme="minorHAnsi" w:cstheme="minorHAnsi"/>
                <w:sz w:val="24"/>
                <w:szCs w:val="24"/>
              </w:rPr>
              <w:t>Contributing to the EnC -60,9% GHG emissions reduction target with national emissions reduction in 2030;</w:t>
            </w:r>
          </w:p>
          <w:p w14:paraId="4B47623A" w14:textId="77777777" w:rsidR="00CA2CC3" w:rsidRPr="00AF391B" w:rsidRDefault="00CA2CC3" w:rsidP="00AB0FEE">
            <w:pPr>
              <w:jc w:val="both"/>
              <w:rPr>
                <w:rFonts w:cstheme="minorHAnsi"/>
                <w:sz w:val="24"/>
                <w:szCs w:val="24"/>
                <w:lang w:val="en-US"/>
              </w:rPr>
            </w:pPr>
          </w:p>
          <w:p w14:paraId="0C903745" w14:textId="77777777" w:rsidR="00CA2CC3" w:rsidRPr="00AF391B" w:rsidRDefault="00CA2CC3" w:rsidP="00B6327C">
            <w:pPr>
              <w:pStyle w:val="ListParagraph"/>
              <w:numPr>
                <w:ilvl w:val="0"/>
                <w:numId w:val="12"/>
              </w:numPr>
              <w:jc w:val="both"/>
              <w:rPr>
                <w:rFonts w:cstheme="minorHAnsi"/>
                <w:sz w:val="24"/>
                <w:szCs w:val="24"/>
              </w:rPr>
            </w:pPr>
            <w:r w:rsidRPr="00AF391B">
              <w:rPr>
                <w:rFonts w:cstheme="minorHAnsi"/>
                <w:sz w:val="24"/>
                <w:szCs w:val="24"/>
              </w:rPr>
              <w:t xml:space="preserve">Attaining the national GHG emissions reduction </w:t>
            </w:r>
            <w:r w:rsidRPr="00AF391B">
              <w:rPr>
                <w:rFonts w:cstheme="minorHAnsi"/>
                <w:sz w:val="24"/>
                <w:szCs w:val="24"/>
              </w:rPr>
              <w:lastRenderedPageBreak/>
              <w:t>target for the Right bank of the Dniester River by 68.6% in 2030 compared to the 1990 level.</w:t>
            </w:r>
          </w:p>
          <w:p w14:paraId="13A510A2" w14:textId="77777777" w:rsidR="00CA2CC3" w:rsidRPr="00AF391B" w:rsidRDefault="00CA2CC3" w:rsidP="00AB0FEE">
            <w:pPr>
              <w:jc w:val="both"/>
              <w:rPr>
                <w:rFonts w:cstheme="minorHAnsi"/>
                <w:sz w:val="24"/>
                <w:szCs w:val="24"/>
                <w:lang w:val="en-US"/>
              </w:rPr>
            </w:pPr>
          </w:p>
          <w:p w14:paraId="3E7BE407" w14:textId="77777777" w:rsidR="00CA2CC3" w:rsidRPr="00AF391B" w:rsidRDefault="00CA2CC3" w:rsidP="00AB0FEE">
            <w:pPr>
              <w:spacing w:after="120"/>
              <w:jc w:val="both"/>
              <w:rPr>
                <w:rFonts w:cstheme="minorHAnsi"/>
                <w:sz w:val="24"/>
                <w:szCs w:val="24"/>
                <w:lang w:val="en-US"/>
              </w:rPr>
            </w:pPr>
            <w:r w:rsidRPr="00AF391B">
              <w:rPr>
                <w:rFonts w:cstheme="minorHAnsi"/>
                <w:sz w:val="24"/>
                <w:szCs w:val="24"/>
                <w:lang w:val="en-US"/>
              </w:rPr>
              <w:t>Renewable energy:</w:t>
            </w:r>
          </w:p>
          <w:p w14:paraId="31E7BDD4" w14:textId="77777777" w:rsidR="00CA2CC3" w:rsidRPr="00AF391B" w:rsidRDefault="00CA2CC3" w:rsidP="00B6327C">
            <w:pPr>
              <w:pStyle w:val="ListParagraph"/>
              <w:numPr>
                <w:ilvl w:val="0"/>
                <w:numId w:val="13"/>
              </w:numPr>
              <w:spacing w:after="120"/>
              <w:jc w:val="both"/>
              <w:rPr>
                <w:rFonts w:cstheme="minorHAnsi"/>
                <w:sz w:val="24"/>
                <w:szCs w:val="24"/>
              </w:rPr>
            </w:pPr>
            <w:r w:rsidRPr="00AF391B">
              <w:rPr>
                <w:rFonts w:cstheme="minorHAnsi"/>
                <w:sz w:val="24"/>
                <w:szCs w:val="24"/>
              </w:rPr>
              <w:t>Attaining the national target for Renewable Energy share in final energy consumption is of 27% in 2030</w:t>
            </w:r>
          </w:p>
        </w:tc>
        <w:tc>
          <w:tcPr>
            <w:tcW w:w="8743" w:type="dxa"/>
          </w:tcPr>
          <w:p w14:paraId="226A4D54"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lastRenderedPageBreak/>
              <w:t>PM_DC1: Carbon Border Adjustment Mechanism</w:t>
            </w:r>
          </w:p>
        </w:tc>
      </w:tr>
      <w:tr w:rsidR="00CA2CC3" w:rsidRPr="00E966AE" w14:paraId="5D8862EB" w14:textId="77777777" w:rsidTr="00AB0FEE">
        <w:tc>
          <w:tcPr>
            <w:tcW w:w="1816" w:type="dxa"/>
            <w:vMerge/>
          </w:tcPr>
          <w:p w14:paraId="27CCD8D8" w14:textId="77777777" w:rsidR="00CA2CC3" w:rsidRPr="00AF391B" w:rsidRDefault="00CA2CC3" w:rsidP="00AB0FEE">
            <w:pPr>
              <w:jc w:val="both"/>
              <w:rPr>
                <w:rFonts w:cstheme="minorHAnsi"/>
                <w:sz w:val="24"/>
                <w:szCs w:val="24"/>
                <w:lang w:val="en-US"/>
              </w:rPr>
            </w:pPr>
          </w:p>
        </w:tc>
        <w:tc>
          <w:tcPr>
            <w:tcW w:w="3435" w:type="dxa"/>
            <w:vMerge/>
          </w:tcPr>
          <w:p w14:paraId="78A799AD" w14:textId="77777777" w:rsidR="00CA2CC3" w:rsidRPr="00AF391B" w:rsidRDefault="00CA2CC3" w:rsidP="00AB0FEE">
            <w:pPr>
              <w:jc w:val="both"/>
              <w:rPr>
                <w:rFonts w:cstheme="minorHAnsi"/>
                <w:sz w:val="24"/>
                <w:szCs w:val="24"/>
                <w:lang w:val="en-US"/>
              </w:rPr>
            </w:pPr>
          </w:p>
        </w:tc>
        <w:tc>
          <w:tcPr>
            <w:tcW w:w="8743" w:type="dxa"/>
          </w:tcPr>
          <w:p w14:paraId="50BF7F6D"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PM_DC2: Implementation of an Emissions Trading System</w:t>
            </w:r>
          </w:p>
        </w:tc>
      </w:tr>
      <w:tr w:rsidR="00CA2CC3" w:rsidRPr="00E966AE" w14:paraId="0E03C151" w14:textId="77777777" w:rsidTr="00AB0FEE">
        <w:tc>
          <w:tcPr>
            <w:tcW w:w="1816" w:type="dxa"/>
            <w:vMerge/>
          </w:tcPr>
          <w:p w14:paraId="5447C7E8" w14:textId="77777777" w:rsidR="00CA2CC3" w:rsidRPr="00AF391B" w:rsidRDefault="00CA2CC3" w:rsidP="00AB0FEE">
            <w:pPr>
              <w:jc w:val="both"/>
              <w:rPr>
                <w:rFonts w:cstheme="minorHAnsi"/>
                <w:sz w:val="24"/>
                <w:szCs w:val="24"/>
                <w:lang w:val="en-US"/>
              </w:rPr>
            </w:pPr>
          </w:p>
        </w:tc>
        <w:tc>
          <w:tcPr>
            <w:tcW w:w="3435" w:type="dxa"/>
            <w:vMerge/>
          </w:tcPr>
          <w:p w14:paraId="60CCF6C1" w14:textId="77777777" w:rsidR="00CA2CC3" w:rsidRPr="00AF391B" w:rsidRDefault="00CA2CC3" w:rsidP="00AB0FEE">
            <w:pPr>
              <w:jc w:val="both"/>
              <w:rPr>
                <w:rFonts w:cstheme="minorHAnsi"/>
                <w:sz w:val="24"/>
                <w:szCs w:val="24"/>
                <w:lang w:val="en-US"/>
              </w:rPr>
            </w:pPr>
          </w:p>
        </w:tc>
        <w:tc>
          <w:tcPr>
            <w:tcW w:w="8743" w:type="dxa"/>
          </w:tcPr>
          <w:p w14:paraId="32234466"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PM_DC4: Development of the projects of the Joint Credit Mechanism with Japan</w:t>
            </w:r>
            <w:r w:rsidRPr="00AF391B" w:rsidDel="007D4293">
              <w:rPr>
                <w:rFonts w:cstheme="minorHAnsi"/>
                <w:bCs/>
                <w:sz w:val="24"/>
                <w:szCs w:val="24"/>
                <w:lang w:val="en-US"/>
              </w:rPr>
              <w:t xml:space="preserve"> </w:t>
            </w:r>
            <w:r w:rsidRPr="00AF391B">
              <w:rPr>
                <w:rFonts w:cstheme="minorHAnsi"/>
                <w:bCs/>
                <w:sz w:val="24"/>
                <w:szCs w:val="24"/>
                <w:lang w:val="en-US"/>
              </w:rPr>
              <w:t>(JCM)</w:t>
            </w:r>
          </w:p>
        </w:tc>
      </w:tr>
      <w:tr w:rsidR="00CA2CC3" w:rsidRPr="00E966AE" w14:paraId="6F1A9862" w14:textId="77777777" w:rsidTr="00AB0FEE">
        <w:tc>
          <w:tcPr>
            <w:tcW w:w="1816" w:type="dxa"/>
            <w:vMerge/>
          </w:tcPr>
          <w:p w14:paraId="411C061C" w14:textId="77777777" w:rsidR="00CA2CC3" w:rsidRPr="00AF391B" w:rsidRDefault="00CA2CC3" w:rsidP="00AB0FEE">
            <w:pPr>
              <w:jc w:val="both"/>
              <w:rPr>
                <w:rFonts w:cstheme="minorHAnsi"/>
                <w:sz w:val="24"/>
                <w:szCs w:val="24"/>
                <w:lang w:val="en-US"/>
              </w:rPr>
            </w:pPr>
          </w:p>
        </w:tc>
        <w:tc>
          <w:tcPr>
            <w:tcW w:w="3435" w:type="dxa"/>
            <w:vMerge/>
          </w:tcPr>
          <w:p w14:paraId="6B233729" w14:textId="77777777" w:rsidR="00CA2CC3" w:rsidRPr="00AF391B" w:rsidRDefault="00CA2CC3" w:rsidP="00AB0FEE">
            <w:pPr>
              <w:jc w:val="both"/>
              <w:rPr>
                <w:rFonts w:cstheme="minorHAnsi"/>
                <w:sz w:val="24"/>
                <w:szCs w:val="24"/>
                <w:lang w:val="en-US"/>
              </w:rPr>
            </w:pPr>
          </w:p>
        </w:tc>
        <w:tc>
          <w:tcPr>
            <w:tcW w:w="8743" w:type="dxa"/>
          </w:tcPr>
          <w:p w14:paraId="41081BAD"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PM_DC6: The Low Emission Development Program of the Republic of Moldova until 2030 and the Action Plan for its implementation</w:t>
            </w:r>
          </w:p>
        </w:tc>
      </w:tr>
      <w:tr w:rsidR="00CA2CC3" w:rsidRPr="00E966AE" w14:paraId="606D7073" w14:textId="77777777" w:rsidTr="00AB0FEE">
        <w:tc>
          <w:tcPr>
            <w:tcW w:w="1816" w:type="dxa"/>
            <w:vMerge/>
          </w:tcPr>
          <w:p w14:paraId="6A54CDF4" w14:textId="77777777" w:rsidR="00CA2CC3" w:rsidRPr="00AF391B" w:rsidRDefault="00CA2CC3" w:rsidP="00AB0FEE">
            <w:pPr>
              <w:jc w:val="both"/>
              <w:rPr>
                <w:rFonts w:cstheme="minorHAnsi"/>
                <w:sz w:val="24"/>
                <w:szCs w:val="24"/>
                <w:lang w:val="en-US"/>
              </w:rPr>
            </w:pPr>
          </w:p>
        </w:tc>
        <w:tc>
          <w:tcPr>
            <w:tcW w:w="3435" w:type="dxa"/>
            <w:vMerge/>
          </w:tcPr>
          <w:p w14:paraId="526DE846" w14:textId="77777777" w:rsidR="00CA2CC3" w:rsidRPr="00AF391B" w:rsidRDefault="00CA2CC3" w:rsidP="00AB0FEE">
            <w:pPr>
              <w:jc w:val="both"/>
              <w:rPr>
                <w:rFonts w:cstheme="minorHAnsi"/>
                <w:sz w:val="24"/>
                <w:szCs w:val="24"/>
                <w:lang w:val="en-US"/>
              </w:rPr>
            </w:pPr>
          </w:p>
        </w:tc>
        <w:tc>
          <w:tcPr>
            <w:tcW w:w="8743" w:type="dxa"/>
          </w:tcPr>
          <w:p w14:paraId="5D74AF14"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PM_DC7: Preparation for and introduction of carbon tax</w:t>
            </w:r>
          </w:p>
        </w:tc>
      </w:tr>
      <w:tr w:rsidR="00CA2CC3" w:rsidRPr="00E966AE" w14:paraId="7979394A" w14:textId="77777777" w:rsidTr="00AB0FEE">
        <w:tc>
          <w:tcPr>
            <w:tcW w:w="1816" w:type="dxa"/>
            <w:vMerge/>
          </w:tcPr>
          <w:p w14:paraId="617FD1FA" w14:textId="77777777" w:rsidR="00CA2CC3" w:rsidRPr="00AF391B" w:rsidRDefault="00CA2CC3" w:rsidP="00AB0FEE">
            <w:pPr>
              <w:jc w:val="both"/>
              <w:rPr>
                <w:rFonts w:cstheme="minorHAnsi"/>
                <w:sz w:val="24"/>
                <w:szCs w:val="24"/>
                <w:lang w:val="en-US"/>
              </w:rPr>
            </w:pPr>
          </w:p>
        </w:tc>
        <w:tc>
          <w:tcPr>
            <w:tcW w:w="3435" w:type="dxa"/>
            <w:vMerge/>
          </w:tcPr>
          <w:p w14:paraId="7FA75ABA" w14:textId="77777777" w:rsidR="00CA2CC3" w:rsidRPr="00AF391B" w:rsidRDefault="00CA2CC3" w:rsidP="00AB0FEE">
            <w:pPr>
              <w:jc w:val="both"/>
              <w:rPr>
                <w:rFonts w:cstheme="minorHAnsi"/>
                <w:sz w:val="24"/>
                <w:szCs w:val="24"/>
                <w:lang w:val="en-US"/>
              </w:rPr>
            </w:pPr>
          </w:p>
        </w:tc>
        <w:tc>
          <w:tcPr>
            <w:tcW w:w="8743" w:type="dxa"/>
          </w:tcPr>
          <w:p w14:paraId="52509BE3"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PM_DC8: Implementation and monitoring of the Low-Carbon Development Program until 2030 and of the Action Plan for its implementation and of the National Climate Change Adaptation Program until 2030 and the Action Plan for its implementation</w:t>
            </w:r>
          </w:p>
        </w:tc>
      </w:tr>
      <w:tr w:rsidR="00CA2CC3" w:rsidRPr="00E966AE" w14:paraId="2F501C59" w14:textId="77777777" w:rsidTr="00AB0FEE">
        <w:tc>
          <w:tcPr>
            <w:tcW w:w="1816" w:type="dxa"/>
            <w:vMerge/>
          </w:tcPr>
          <w:p w14:paraId="3A97C651" w14:textId="77777777" w:rsidR="00CA2CC3" w:rsidRPr="00AF391B" w:rsidRDefault="00CA2CC3" w:rsidP="00AB0FEE">
            <w:pPr>
              <w:jc w:val="both"/>
              <w:rPr>
                <w:rFonts w:cstheme="minorHAnsi"/>
                <w:sz w:val="24"/>
                <w:szCs w:val="24"/>
                <w:lang w:val="en-US"/>
              </w:rPr>
            </w:pPr>
          </w:p>
        </w:tc>
        <w:tc>
          <w:tcPr>
            <w:tcW w:w="3435" w:type="dxa"/>
            <w:vMerge/>
          </w:tcPr>
          <w:p w14:paraId="6B9FE3C5" w14:textId="77777777" w:rsidR="00CA2CC3" w:rsidRPr="00AF391B" w:rsidRDefault="00CA2CC3" w:rsidP="00AB0FEE">
            <w:pPr>
              <w:jc w:val="both"/>
              <w:rPr>
                <w:rFonts w:cstheme="minorHAnsi"/>
                <w:sz w:val="24"/>
                <w:szCs w:val="24"/>
                <w:lang w:val="en-US"/>
              </w:rPr>
            </w:pPr>
          </w:p>
        </w:tc>
        <w:tc>
          <w:tcPr>
            <w:tcW w:w="8743" w:type="dxa"/>
          </w:tcPr>
          <w:p w14:paraId="6FF1EE4E"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PM_DC9: The program for the promotion of the green and circular economy for the years 2024 – 2028</w:t>
            </w:r>
          </w:p>
        </w:tc>
      </w:tr>
      <w:tr w:rsidR="00CA2CC3" w:rsidRPr="00E966AE" w14:paraId="045F3163" w14:textId="77777777" w:rsidTr="00AB0FEE">
        <w:tc>
          <w:tcPr>
            <w:tcW w:w="1816" w:type="dxa"/>
            <w:vMerge/>
          </w:tcPr>
          <w:p w14:paraId="2F5C5F78" w14:textId="77777777" w:rsidR="00CA2CC3" w:rsidRPr="00AF391B" w:rsidRDefault="00CA2CC3" w:rsidP="00AB0FEE">
            <w:pPr>
              <w:jc w:val="both"/>
              <w:rPr>
                <w:rFonts w:cstheme="minorHAnsi"/>
                <w:sz w:val="24"/>
                <w:szCs w:val="24"/>
                <w:lang w:val="en-US"/>
              </w:rPr>
            </w:pPr>
          </w:p>
        </w:tc>
        <w:tc>
          <w:tcPr>
            <w:tcW w:w="3435" w:type="dxa"/>
            <w:vMerge/>
          </w:tcPr>
          <w:p w14:paraId="05C74FF8" w14:textId="77777777" w:rsidR="00CA2CC3" w:rsidRPr="00AF391B" w:rsidRDefault="00CA2CC3" w:rsidP="00AB0FEE">
            <w:pPr>
              <w:jc w:val="both"/>
              <w:rPr>
                <w:rFonts w:cstheme="minorHAnsi"/>
                <w:sz w:val="24"/>
                <w:szCs w:val="24"/>
                <w:lang w:val="en-US"/>
              </w:rPr>
            </w:pPr>
          </w:p>
        </w:tc>
        <w:tc>
          <w:tcPr>
            <w:tcW w:w="8743" w:type="dxa"/>
          </w:tcPr>
          <w:p w14:paraId="4A539A9C"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PM_DC10: Law on Climate Actions</w:t>
            </w:r>
          </w:p>
        </w:tc>
      </w:tr>
      <w:tr w:rsidR="00CA2CC3" w:rsidRPr="00E966AE" w14:paraId="45A709A2" w14:textId="77777777" w:rsidTr="00AB0FEE">
        <w:tc>
          <w:tcPr>
            <w:tcW w:w="1816" w:type="dxa"/>
            <w:vMerge/>
          </w:tcPr>
          <w:p w14:paraId="52F646DB" w14:textId="77777777" w:rsidR="00CA2CC3" w:rsidRPr="00AF391B" w:rsidRDefault="00CA2CC3" w:rsidP="00AB0FEE">
            <w:pPr>
              <w:jc w:val="both"/>
              <w:rPr>
                <w:rFonts w:cstheme="minorHAnsi"/>
                <w:sz w:val="24"/>
                <w:szCs w:val="24"/>
                <w:lang w:val="en-US"/>
              </w:rPr>
            </w:pPr>
          </w:p>
        </w:tc>
        <w:tc>
          <w:tcPr>
            <w:tcW w:w="3435" w:type="dxa"/>
            <w:vMerge/>
          </w:tcPr>
          <w:p w14:paraId="4D09199F" w14:textId="77777777" w:rsidR="00CA2CC3" w:rsidRPr="00AF391B" w:rsidRDefault="00CA2CC3" w:rsidP="00AB0FEE">
            <w:pPr>
              <w:jc w:val="both"/>
              <w:rPr>
                <w:rFonts w:cstheme="minorHAnsi"/>
                <w:sz w:val="24"/>
                <w:szCs w:val="24"/>
                <w:lang w:val="en-US"/>
              </w:rPr>
            </w:pPr>
          </w:p>
        </w:tc>
        <w:tc>
          <w:tcPr>
            <w:tcW w:w="8743" w:type="dxa"/>
          </w:tcPr>
          <w:p w14:paraId="7128CF56"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PM_DC14: Substitution of clinker in the cement production  </w:t>
            </w:r>
          </w:p>
        </w:tc>
      </w:tr>
      <w:tr w:rsidR="00CA2CC3" w:rsidRPr="00E966AE" w14:paraId="0195A3AD" w14:textId="77777777" w:rsidTr="00AB0FEE">
        <w:tc>
          <w:tcPr>
            <w:tcW w:w="1816" w:type="dxa"/>
            <w:vMerge/>
          </w:tcPr>
          <w:p w14:paraId="34295B34" w14:textId="77777777" w:rsidR="00CA2CC3" w:rsidRPr="00AF391B" w:rsidRDefault="00CA2CC3" w:rsidP="00AB0FEE">
            <w:pPr>
              <w:jc w:val="both"/>
              <w:rPr>
                <w:rFonts w:cstheme="minorHAnsi"/>
                <w:sz w:val="24"/>
                <w:szCs w:val="24"/>
                <w:lang w:val="en-US"/>
              </w:rPr>
            </w:pPr>
          </w:p>
        </w:tc>
        <w:tc>
          <w:tcPr>
            <w:tcW w:w="3435" w:type="dxa"/>
            <w:vMerge/>
          </w:tcPr>
          <w:p w14:paraId="319C9B14" w14:textId="77777777" w:rsidR="00CA2CC3" w:rsidRPr="00AF391B" w:rsidRDefault="00CA2CC3" w:rsidP="00AB0FEE">
            <w:pPr>
              <w:jc w:val="both"/>
              <w:rPr>
                <w:rFonts w:cstheme="minorHAnsi"/>
                <w:sz w:val="24"/>
                <w:szCs w:val="24"/>
                <w:lang w:val="en-US"/>
              </w:rPr>
            </w:pPr>
          </w:p>
        </w:tc>
        <w:tc>
          <w:tcPr>
            <w:tcW w:w="8743" w:type="dxa"/>
          </w:tcPr>
          <w:p w14:paraId="5FF62927"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PM_DC15: Environment Strategy until 2033</w:t>
            </w:r>
          </w:p>
        </w:tc>
      </w:tr>
      <w:tr w:rsidR="00CA2CC3" w:rsidRPr="00AF391B" w14:paraId="0E5C5EE8" w14:textId="77777777" w:rsidTr="00AB0FEE">
        <w:tc>
          <w:tcPr>
            <w:tcW w:w="1816" w:type="dxa"/>
            <w:vMerge/>
          </w:tcPr>
          <w:p w14:paraId="64B4C38A" w14:textId="77777777" w:rsidR="00CA2CC3" w:rsidRPr="00AF391B" w:rsidRDefault="00CA2CC3" w:rsidP="00AB0FEE">
            <w:pPr>
              <w:jc w:val="both"/>
              <w:rPr>
                <w:rFonts w:cstheme="minorHAnsi"/>
                <w:sz w:val="24"/>
                <w:szCs w:val="24"/>
                <w:lang w:val="en-US"/>
              </w:rPr>
            </w:pPr>
          </w:p>
        </w:tc>
        <w:tc>
          <w:tcPr>
            <w:tcW w:w="3435" w:type="dxa"/>
            <w:vMerge/>
          </w:tcPr>
          <w:p w14:paraId="05BE7EF9" w14:textId="77777777" w:rsidR="00CA2CC3" w:rsidRPr="00AF391B" w:rsidRDefault="00CA2CC3" w:rsidP="00AB0FEE">
            <w:pPr>
              <w:jc w:val="both"/>
              <w:rPr>
                <w:rFonts w:cstheme="minorHAnsi"/>
                <w:sz w:val="24"/>
                <w:szCs w:val="24"/>
                <w:lang w:val="en-US"/>
              </w:rPr>
            </w:pPr>
          </w:p>
        </w:tc>
        <w:tc>
          <w:tcPr>
            <w:tcW w:w="8743" w:type="dxa"/>
          </w:tcPr>
          <w:p w14:paraId="7819BC5E"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PM_DC16: Waste Management Strategy 2013-2027</w:t>
            </w:r>
          </w:p>
        </w:tc>
      </w:tr>
      <w:tr w:rsidR="00CA2CC3" w:rsidRPr="00E966AE" w14:paraId="3FF86D67" w14:textId="77777777" w:rsidTr="00AB0FEE">
        <w:tc>
          <w:tcPr>
            <w:tcW w:w="1816" w:type="dxa"/>
            <w:vMerge/>
          </w:tcPr>
          <w:p w14:paraId="08B1AE65" w14:textId="77777777" w:rsidR="00CA2CC3" w:rsidRPr="00AF391B" w:rsidRDefault="00CA2CC3" w:rsidP="00AB0FEE">
            <w:pPr>
              <w:jc w:val="both"/>
              <w:rPr>
                <w:rFonts w:cstheme="minorHAnsi"/>
                <w:sz w:val="24"/>
                <w:szCs w:val="24"/>
                <w:lang w:val="en-US"/>
              </w:rPr>
            </w:pPr>
          </w:p>
        </w:tc>
        <w:tc>
          <w:tcPr>
            <w:tcW w:w="3435" w:type="dxa"/>
            <w:vMerge/>
          </w:tcPr>
          <w:p w14:paraId="237C1071" w14:textId="77777777" w:rsidR="00CA2CC3" w:rsidRPr="00AF391B" w:rsidRDefault="00CA2CC3" w:rsidP="00AB0FEE">
            <w:pPr>
              <w:jc w:val="both"/>
              <w:rPr>
                <w:rFonts w:cstheme="minorHAnsi"/>
                <w:sz w:val="24"/>
                <w:szCs w:val="24"/>
                <w:lang w:val="en-US"/>
              </w:rPr>
            </w:pPr>
          </w:p>
        </w:tc>
        <w:tc>
          <w:tcPr>
            <w:tcW w:w="8743" w:type="dxa"/>
          </w:tcPr>
          <w:p w14:paraId="698F77EB"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PM_DC17: Moldova Solid Waste Project</w:t>
            </w:r>
          </w:p>
        </w:tc>
      </w:tr>
      <w:tr w:rsidR="00CA2CC3" w:rsidRPr="00E966AE" w14:paraId="6AC8F13F" w14:textId="77777777" w:rsidTr="00AB0FEE">
        <w:tc>
          <w:tcPr>
            <w:tcW w:w="1816" w:type="dxa"/>
            <w:vMerge/>
          </w:tcPr>
          <w:p w14:paraId="3889EC00" w14:textId="77777777" w:rsidR="00CA2CC3" w:rsidRPr="00AF391B" w:rsidRDefault="00CA2CC3" w:rsidP="00AB0FEE">
            <w:pPr>
              <w:jc w:val="both"/>
              <w:rPr>
                <w:rFonts w:cstheme="minorHAnsi"/>
                <w:sz w:val="24"/>
                <w:szCs w:val="24"/>
                <w:lang w:val="en-US"/>
              </w:rPr>
            </w:pPr>
          </w:p>
        </w:tc>
        <w:tc>
          <w:tcPr>
            <w:tcW w:w="3435" w:type="dxa"/>
            <w:vMerge/>
          </w:tcPr>
          <w:p w14:paraId="1E2F7ED7" w14:textId="77777777" w:rsidR="00CA2CC3" w:rsidRPr="00AF391B" w:rsidRDefault="00CA2CC3" w:rsidP="00AB0FEE">
            <w:pPr>
              <w:jc w:val="both"/>
              <w:rPr>
                <w:rFonts w:cstheme="minorHAnsi"/>
                <w:sz w:val="24"/>
                <w:szCs w:val="24"/>
                <w:lang w:val="en-US"/>
              </w:rPr>
            </w:pPr>
          </w:p>
        </w:tc>
        <w:tc>
          <w:tcPr>
            <w:tcW w:w="8743" w:type="dxa"/>
          </w:tcPr>
          <w:p w14:paraId="1F21B27C"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PM_DC18: Implementation of the “no-till” and mini-till conservative tillage system</w:t>
            </w:r>
          </w:p>
        </w:tc>
      </w:tr>
      <w:tr w:rsidR="00CA2CC3" w:rsidRPr="00E966AE" w14:paraId="494E54B7" w14:textId="77777777" w:rsidTr="00AB0FEE">
        <w:tc>
          <w:tcPr>
            <w:tcW w:w="1816" w:type="dxa"/>
            <w:vMerge/>
          </w:tcPr>
          <w:p w14:paraId="39DBF28D" w14:textId="77777777" w:rsidR="00CA2CC3" w:rsidRPr="00AF391B" w:rsidRDefault="00CA2CC3" w:rsidP="00AB0FEE">
            <w:pPr>
              <w:jc w:val="both"/>
              <w:rPr>
                <w:rFonts w:cstheme="minorHAnsi"/>
                <w:sz w:val="24"/>
                <w:szCs w:val="24"/>
                <w:lang w:val="en-US"/>
              </w:rPr>
            </w:pPr>
          </w:p>
        </w:tc>
        <w:tc>
          <w:tcPr>
            <w:tcW w:w="3435" w:type="dxa"/>
            <w:vMerge/>
          </w:tcPr>
          <w:p w14:paraId="45F4DE05" w14:textId="77777777" w:rsidR="00CA2CC3" w:rsidRPr="00AF391B" w:rsidRDefault="00CA2CC3" w:rsidP="00AB0FEE">
            <w:pPr>
              <w:jc w:val="both"/>
              <w:rPr>
                <w:rFonts w:cstheme="minorHAnsi"/>
                <w:sz w:val="24"/>
                <w:szCs w:val="24"/>
                <w:lang w:val="en-US"/>
              </w:rPr>
            </w:pPr>
          </w:p>
        </w:tc>
        <w:tc>
          <w:tcPr>
            <w:tcW w:w="8743" w:type="dxa"/>
          </w:tcPr>
          <w:p w14:paraId="5DF634A4"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PM_DC19: Implementation of sustainable agricultural land management practices</w:t>
            </w:r>
          </w:p>
        </w:tc>
      </w:tr>
      <w:tr w:rsidR="00CA2CC3" w:rsidRPr="00E966AE" w14:paraId="0A8BD84B" w14:textId="77777777" w:rsidTr="00AB0FEE">
        <w:tc>
          <w:tcPr>
            <w:tcW w:w="1816" w:type="dxa"/>
            <w:vMerge/>
          </w:tcPr>
          <w:p w14:paraId="5D14C1DA" w14:textId="77777777" w:rsidR="00CA2CC3" w:rsidRPr="00AF391B" w:rsidRDefault="00CA2CC3" w:rsidP="00AB0FEE">
            <w:pPr>
              <w:jc w:val="both"/>
              <w:rPr>
                <w:rFonts w:cstheme="minorHAnsi"/>
                <w:sz w:val="24"/>
                <w:szCs w:val="24"/>
                <w:lang w:val="en-US"/>
              </w:rPr>
            </w:pPr>
          </w:p>
        </w:tc>
        <w:tc>
          <w:tcPr>
            <w:tcW w:w="3435" w:type="dxa"/>
            <w:vMerge/>
          </w:tcPr>
          <w:p w14:paraId="005DAC14" w14:textId="77777777" w:rsidR="00CA2CC3" w:rsidRPr="00AF391B" w:rsidRDefault="00CA2CC3" w:rsidP="00AB0FEE">
            <w:pPr>
              <w:jc w:val="both"/>
              <w:rPr>
                <w:rFonts w:cstheme="minorHAnsi"/>
                <w:sz w:val="24"/>
                <w:szCs w:val="24"/>
                <w:lang w:val="en-US"/>
              </w:rPr>
            </w:pPr>
          </w:p>
        </w:tc>
        <w:tc>
          <w:tcPr>
            <w:tcW w:w="8743" w:type="dxa"/>
          </w:tcPr>
          <w:p w14:paraId="249F339D"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PM_DC20: Manure storage in communal platforms or individual warehouses</w:t>
            </w:r>
          </w:p>
        </w:tc>
      </w:tr>
      <w:tr w:rsidR="00CA2CC3" w:rsidRPr="00E966AE" w14:paraId="0964E6C2" w14:textId="77777777" w:rsidTr="00AB0FEE">
        <w:tc>
          <w:tcPr>
            <w:tcW w:w="1816" w:type="dxa"/>
            <w:vMerge/>
          </w:tcPr>
          <w:p w14:paraId="31F57756" w14:textId="77777777" w:rsidR="00CA2CC3" w:rsidRPr="00AF391B" w:rsidRDefault="00CA2CC3" w:rsidP="00AB0FEE">
            <w:pPr>
              <w:jc w:val="both"/>
              <w:rPr>
                <w:rFonts w:cstheme="minorHAnsi"/>
                <w:sz w:val="24"/>
                <w:szCs w:val="24"/>
                <w:lang w:val="en-US"/>
              </w:rPr>
            </w:pPr>
          </w:p>
        </w:tc>
        <w:tc>
          <w:tcPr>
            <w:tcW w:w="3435" w:type="dxa"/>
            <w:vMerge/>
          </w:tcPr>
          <w:p w14:paraId="30EFD9A9" w14:textId="77777777" w:rsidR="00CA2CC3" w:rsidRPr="00AF391B" w:rsidRDefault="00CA2CC3" w:rsidP="00AB0FEE">
            <w:pPr>
              <w:jc w:val="both"/>
              <w:rPr>
                <w:rFonts w:cstheme="minorHAnsi"/>
                <w:sz w:val="24"/>
                <w:szCs w:val="24"/>
                <w:lang w:val="en-US"/>
              </w:rPr>
            </w:pPr>
          </w:p>
        </w:tc>
        <w:tc>
          <w:tcPr>
            <w:tcW w:w="8743" w:type="dxa"/>
          </w:tcPr>
          <w:p w14:paraId="7C7E03CE"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PM_DC21: Promotion of cattle feeding technologies by using feed in the form of unique mixtures (monoration) without or with small amounts of green fodder</w:t>
            </w:r>
          </w:p>
        </w:tc>
      </w:tr>
      <w:tr w:rsidR="00CA2CC3" w:rsidRPr="00E966AE" w14:paraId="5C25A388" w14:textId="77777777" w:rsidTr="00AB0FEE">
        <w:tc>
          <w:tcPr>
            <w:tcW w:w="1816" w:type="dxa"/>
            <w:vMerge/>
          </w:tcPr>
          <w:p w14:paraId="7EF549C2" w14:textId="77777777" w:rsidR="00CA2CC3" w:rsidRPr="00AF391B" w:rsidRDefault="00CA2CC3" w:rsidP="00AB0FEE">
            <w:pPr>
              <w:jc w:val="both"/>
              <w:rPr>
                <w:rFonts w:cstheme="minorHAnsi"/>
                <w:sz w:val="24"/>
                <w:szCs w:val="24"/>
                <w:lang w:val="en-US"/>
              </w:rPr>
            </w:pPr>
          </w:p>
        </w:tc>
        <w:tc>
          <w:tcPr>
            <w:tcW w:w="3435" w:type="dxa"/>
            <w:vMerge/>
          </w:tcPr>
          <w:p w14:paraId="231B9AE7" w14:textId="77777777" w:rsidR="00CA2CC3" w:rsidRPr="00AF391B" w:rsidRDefault="00CA2CC3" w:rsidP="00AB0FEE">
            <w:pPr>
              <w:jc w:val="both"/>
              <w:rPr>
                <w:rFonts w:cstheme="minorHAnsi"/>
                <w:sz w:val="24"/>
                <w:szCs w:val="24"/>
                <w:lang w:val="en-US"/>
              </w:rPr>
            </w:pPr>
          </w:p>
        </w:tc>
        <w:tc>
          <w:tcPr>
            <w:tcW w:w="8743" w:type="dxa"/>
          </w:tcPr>
          <w:p w14:paraId="75125A78"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PM_DC22: Promoting the use of grape marc in ruminant rations with the aim of reducing greenhouse gas emissions</w:t>
            </w:r>
          </w:p>
        </w:tc>
      </w:tr>
      <w:tr w:rsidR="00CA2CC3" w:rsidRPr="00E966AE" w14:paraId="3E09A519" w14:textId="77777777" w:rsidTr="00AB0FEE">
        <w:tc>
          <w:tcPr>
            <w:tcW w:w="1816" w:type="dxa"/>
            <w:vMerge/>
          </w:tcPr>
          <w:p w14:paraId="2AFF6EA6" w14:textId="77777777" w:rsidR="00CA2CC3" w:rsidRPr="00AF391B" w:rsidRDefault="00CA2CC3" w:rsidP="00AB0FEE">
            <w:pPr>
              <w:jc w:val="both"/>
              <w:rPr>
                <w:rFonts w:cstheme="minorHAnsi"/>
                <w:sz w:val="24"/>
                <w:szCs w:val="24"/>
                <w:lang w:val="en-US"/>
              </w:rPr>
            </w:pPr>
          </w:p>
        </w:tc>
        <w:tc>
          <w:tcPr>
            <w:tcW w:w="3435" w:type="dxa"/>
            <w:vMerge/>
          </w:tcPr>
          <w:p w14:paraId="2444B2C5" w14:textId="77777777" w:rsidR="00CA2CC3" w:rsidRPr="00AF391B" w:rsidRDefault="00CA2CC3" w:rsidP="00AB0FEE">
            <w:pPr>
              <w:jc w:val="both"/>
              <w:rPr>
                <w:rFonts w:cstheme="minorHAnsi"/>
                <w:sz w:val="24"/>
                <w:szCs w:val="24"/>
                <w:lang w:val="en-US"/>
              </w:rPr>
            </w:pPr>
          </w:p>
        </w:tc>
        <w:tc>
          <w:tcPr>
            <w:tcW w:w="8743" w:type="dxa"/>
          </w:tcPr>
          <w:p w14:paraId="7A8AE895"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PM_DC26: </w:t>
            </w:r>
            <w:r w:rsidRPr="00AF391B">
              <w:rPr>
                <w:rFonts w:eastAsia="Calibri" w:cstheme="minorHAnsi"/>
                <w:bCs/>
                <w:color w:val="000000" w:themeColor="text1"/>
                <w:sz w:val="24"/>
                <w:szCs w:val="24"/>
                <w:lang w:val="en-US"/>
              </w:rPr>
              <w:t>Amended Law on promotion and use of renewable energy sources</w:t>
            </w:r>
          </w:p>
        </w:tc>
      </w:tr>
      <w:tr w:rsidR="00CA2CC3" w:rsidRPr="00E966AE" w14:paraId="58B59143" w14:textId="77777777" w:rsidTr="00AB0FEE">
        <w:tc>
          <w:tcPr>
            <w:tcW w:w="1816" w:type="dxa"/>
            <w:vMerge/>
          </w:tcPr>
          <w:p w14:paraId="130F8B6C" w14:textId="77777777" w:rsidR="00CA2CC3" w:rsidRPr="00AF391B" w:rsidRDefault="00CA2CC3" w:rsidP="00AB0FEE">
            <w:pPr>
              <w:jc w:val="both"/>
              <w:rPr>
                <w:rFonts w:cstheme="minorHAnsi"/>
                <w:sz w:val="24"/>
                <w:szCs w:val="24"/>
                <w:lang w:val="en-US"/>
              </w:rPr>
            </w:pPr>
          </w:p>
        </w:tc>
        <w:tc>
          <w:tcPr>
            <w:tcW w:w="3435" w:type="dxa"/>
            <w:vMerge/>
          </w:tcPr>
          <w:p w14:paraId="566471D2" w14:textId="77777777" w:rsidR="00CA2CC3" w:rsidRPr="00AF391B" w:rsidRDefault="00CA2CC3" w:rsidP="00AB0FEE">
            <w:pPr>
              <w:jc w:val="both"/>
              <w:rPr>
                <w:rFonts w:cstheme="minorHAnsi"/>
                <w:sz w:val="24"/>
                <w:szCs w:val="24"/>
                <w:lang w:val="en-US"/>
              </w:rPr>
            </w:pPr>
          </w:p>
        </w:tc>
        <w:tc>
          <w:tcPr>
            <w:tcW w:w="8743" w:type="dxa"/>
          </w:tcPr>
          <w:p w14:paraId="666F58FB"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PM_DC27: </w:t>
            </w:r>
            <w:r w:rsidRPr="00AF391B">
              <w:rPr>
                <w:rFonts w:eastAsia="Calibri" w:cstheme="minorHAnsi"/>
                <w:bCs/>
                <w:color w:val="000000" w:themeColor="text1"/>
                <w:sz w:val="24"/>
                <w:szCs w:val="24"/>
                <w:lang w:val="en-US"/>
              </w:rPr>
              <w:t>Support scheme based on fixed prices</w:t>
            </w:r>
          </w:p>
        </w:tc>
      </w:tr>
      <w:tr w:rsidR="00CA2CC3" w:rsidRPr="00E966AE" w14:paraId="54FFD43A" w14:textId="77777777" w:rsidTr="00AB0FEE">
        <w:tc>
          <w:tcPr>
            <w:tcW w:w="1816" w:type="dxa"/>
            <w:vMerge/>
          </w:tcPr>
          <w:p w14:paraId="4892AFC0" w14:textId="77777777" w:rsidR="00CA2CC3" w:rsidRPr="00AF391B" w:rsidRDefault="00CA2CC3" w:rsidP="00AB0FEE">
            <w:pPr>
              <w:jc w:val="both"/>
              <w:rPr>
                <w:rFonts w:cstheme="minorHAnsi"/>
                <w:sz w:val="24"/>
                <w:szCs w:val="24"/>
                <w:lang w:val="en-US"/>
              </w:rPr>
            </w:pPr>
          </w:p>
        </w:tc>
        <w:tc>
          <w:tcPr>
            <w:tcW w:w="3435" w:type="dxa"/>
            <w:vMerge/>
          </w:tcPr>
          <w:p w14:paraId="3E6D2E9E" w14:textId="77777777" w:rsidR="00CA2CC3" w:rsidRPr="00AF391B" w:rsidRDefault="00CA2CC3" w:rsidP="00AB0FEE">
            <w:pPr>
              <w:jc w:val="both"/>
              <w:rPr>
                <w:rFonts w:cstheme="minorHAnsi"/>
                <w:sz w:val="24"/>
                <w:szCs w:val="24"/>
                <w:lang w:val="en-US"/>
              </w:rPr>
            </w:pPr>
          </w:p>
        </w:tc>
        <w:tc>
          <w:tcPr>
            <w:tcW w:w="8743" w:type="dxa"/>
          </w:tcPr>
          <w:p w14:paraId="7DA24361"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PM_DC28: </w:t>
            </w:r>
            <w:r w:rsidRPr="00AF391B">
              <w:rPr>
                <w:rFonts w:eastAsia="Calibri" w:cstheme="minorHAnsi"/>
                <w:bCs/>
                <w:color w:val="000000" w:themeColor="text1"/>
                <w:sz w:val="24"/>
                <w:szCs w:val="24"/>
                <w:lang w:val="en-US"/>
              </w:rPr>
              <w:t>Support scheme based on fixed tariff</w:t>
            </w:r>
          </w:p>
        </w:tc>
      </w:tr>
      <w:tr w:rsidR="00CA2CC3" w:rsidRPr="00E966AE" w14:paraId="1EC4A0A0" w14:textId="77777777" w:rsidTr="00AB0FEE">
        <w:tc>
          <w:tcPr>
            <w:tcW w:w="1816" w:type="dxa"/>
            <w:vMerge/>
          </w:tcPr>
          <w:p w14:paraId="757D95CD" w14:textId="77777777" w:rsidR="00CA2CC3" w:rsidRPr="00AF391B" w:rsidRDefault="00CA2CC3" w:rsidP="00AB0FEE">
            <w:pPr>
              <w:jc w:val="both"/>
              <w:rPr>
                <w:rFonts w:cstheme="minorHAnsi"/>
                <w:sz w:val="24"/>
                <w:szCs w:val="24"/>
                <w:lang w:val="en-US"/>
              </w:rPr>
            </w:pPr>
          </w:p>
        </w:tc>
        <w:tc>
          <w:tcPr>
            <w:tcW w:w="3435" w:type="dxa"/>
            <w:vMerge/>
          </w:tcPr>
          <w:p w14:paraId="6DE8C66A" w14:textId="77777777" w:rsidR="00CA2CC3" w:rsidRPr="00AF391B" w:rsidRDefault="00CA2CC3" w:rsidP="00AB0FEE">
            <w:pPr>
              <w:jc w:val="both"/>
              <w:rPr>
                <w:rFonts w:cstheme="minorHAnsi"/>
                <w:sz w:val="24"/>
                <w:szCs w:val="24"/>
                <w:lang w:val="en-US"/>
              </w:rPr>
            </w:pPr>
          </w:p>
        </w:tc>
        <w:tc>
          <w:tcPr>
            <w:tcW w:w="8743" w:type="dxa"/>
          </w:tcPr>
          <w:p w14:paraId="1610D4E9"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PM_DC29: S</w:t>
            </w:r>
            <w:r w:rsidRPr="00AF391B">
              <w:rPr>
                <w:rFonts w:eastAsia="Calibri" w:cstheme="minorHAnsi"/>
                <w:bCs/>
                <w:color w:val="000000" w:themeColor="text1"/>
                <w:sz w:val="24"/>
                <w:szCs w:val="24"/>
                <w:lang w:val="en-US"/>
              </w:rPr>
              <w:t>upport scheme based on net metering</w:t>
            </w:r>
          </w:p>
        </w:tc>
      </w:tr>
      <w:tr w:rsidR="00CA2CC3" w:rsidRPr="00E966AE" w14:paraId="12E92F80" w14:textId="77777777" w:rsidTr="00AB0FEE">
        <w:tc>
          <w:tcPr>
            <w:tcW w:w="1816" w:type="dxa"/>
            <w:vMerge/>
          </w:tcPr>
          <w:p w14:paraId="7852D384" w14:textId="77777777" w:rsidR="00CA2CC3" w:rsidRPr="00AF391B" w:rsidRDefault="00CA2CC3" w:rsidP="00AB0FEE">
            <w:pPr>
              <w:jc w:val="both"/>
              <w:rPr>
                <w:rFonts w:cstheme="minorHAnsi"/>
                <w:sz w:val="24"/>
                <w:szCs w:val="24"/>
                <w:lang w:val="en-US"/>
              </w:rPr>
            </w:pPr>
          </w:p>
        </w:tc>
        <w:tc>
          <w:tcPr>
            <w:tcW w:w="3435" w:type="dxa"/>
            <w:vMerge/>
          </w:tcPr>
          <w:p w14:paraId="1C897467" w14:textId="77777777" w:rsidR="00CA2CC3" w:rsidRPr="00AF391B" w:rsidRDefault="00CA2CC3" w:rsidP="00AB0FEE">
            <w:pPr>
              <w:jc w:val="both"/>
              <w:rPr>
                <w:rFonts w:cstheme="minorHAnsi"/>
                <w:sz w:val="24"/>
                <w:szCs w:val="24"/>
                <w:lang w:val="en-US"/>
              </w:rPr>
            </w:pPr>
          </w:p>
        </w:tc>
        <w:tc>
          <w:tcPr>
            <w:tcW w:w="8743" w:type="dxa"/>
          </w:tcPr>
          <w:p w14:paraId="60435A39"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PM_DC30: </w:t>
            </w:r>
            <w:r w:rsidRPr="00AF391B">
              <w:rPr>
                <w:rFonts w:eastAsia="Calibri" w:cstheme="minorHAnsi"/>
                <w:bCs/>
                <w:color w:val="000000" w:themeColor="text1"/>
                <w:sz w:val="24"/>
                <w:szCs w:val="24"/>
                <w:lang w:val="en-US"/>
              </w:rPr>
              <w:t>Fostering deployment of RES in district heating</w:t>
            </w:r>
          </w:p>
        </w:tc>
      </w:tr>
      <w:tr w:rsidR="00CA2CC3" w:rsidRPr="00E966AE" w14:paraId="2F6A30DF" w14:textId="77777777" w:rsidTr="00AB0FEE">
        <w:tc>
          <w:tcPr>
            <w:tcW w:w="1816" w:type="dxa"/>
            <w:vMerge/>
          </w:tcPr>
          <w:p w14:paraId="16CFFF78" w14:textId="77777777" w:rsidR="00CA2CC3" w:rsidRPr="00AF391B" w:rsidRDefault="00CA2CC3" w:rsidP="00AB0FEE">
            <w:pPr>
              <w:jc w:val="both"/>
              <w:rPr>
                <w:rFonts w:cstheme="minorHAnsi"/>
                <w:sz w:val="24"/>
                <w:szCs w:val="24"/>
                <w:lang w:val="en-US"/>
              </w:rPr>
            </w:pPr>
          </w:p>
        </w:tc>
        <w:tc>
          <w:tcPr>
            <w:tcW w:w="3435" w:type="dxa"/>
            <w:vMerge/>
          </w:tcPr>
          <w:p w14:paraId="44885A63" w14:textId="77777777" w:rsidR="00CA2CC3" w:rsidRPr="00AF391B" w:rsidRDefault="00CA2CC3" w:rsidP="00AB0FEE">
            <w:pPr>
              <w:jc w:val="both"/>
              <w:rPr>
                <w:rFonts w:cstheme="minorHAnsi"/>
                <w:sz w:val="24"/>
                <w:szCs w:val="24"/>
                <w:lang w:val="en-US"/>
              </w:rPr>
            </w:pPr>
          </w:p>
        </w:tc>
        <w:tc>
          <w:tcPr>
            <w:tcW w:w="8743" w:type="dxa"/>
          </w:tcPr>
          <w:p w14:paraId="3E005FDB"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PM_DC31: </w:t>
            </w:r>
            <w:r w:rsidRPr="00AF391B">
              <w:rPr>
                <w:rFonts w:eastAsia="Calibri" w:cstheme="minorHAnsi"/>
                <w:bCs/>
                <w:color w:val="000000" w:themeColor="text1"/>
                <w:sz w:val="24"/>
                <w:szCs w:val="24"/>
                <w:lang w:val="en-US"/>
              </w:rPr>
              <w:t>Promotion of heat pumps for the Heating &amp; Cooling sector</w:t>
            </w:r>
          </w:p>
        </w:tc>
      </w:tr>
      <w:tr w:rsidR="00CA2CC3" w:rsidRPr="00E966AE" w14:paraId="792AFD25" w14:textId="77777777" w:rsidTr="00AB0FEE">
        <w:tc>
          <w:tcPr>
            <w:tcW w:w="1816" w:type="dxa"/>
            <w:vMerge/>
          </w:tcPr>
          <w:p w14:paraId="17E1AC76" w14:textId="77777777" w:rsidR="00CA2CC3" w:rsidRPr="00AF391B" w:rsidRDefault="00CA2CC3" w:rsidP="00AB0FEE">
            <w:pPr>
              <w:jc w:val="both"/>
              <w:rPr>
                <w:rFonts w:cstheme="minorHAnsi"/>
                <w:sz w:val="24"/>
                <w:szCs w:val="24"/>
                <w:lang w:val="en-US"/>
              </w:rPr>
            </w:pPr>
          </w:p>
        </w:tc>
        <w:tc>
          <w:tcPr>
            <w:tcW w:w="3435" w:type="dxa"/>
            <w:vMerge/>
          </w:tcPr>
          <w:p w14:paraId="47A1EF5A" w14:textId="77777777" w:rsidR="00CA2CC3" w:rsidRPr="00AF391B" w:rsidRDefault="00CA2CC3" w:rsidP="00AB0FEE">
            <w:pPr>
              <w:jc w:val="both"/>
              <w:rPr>
                <w:rFonts w:cstheme="minorHAnsi"/>
                <w:sz w:val="24"/>
                <w:szCs w:val="24"/>
                <w:lang w:val="en-US"/>
              </w:rPr>
            </w:pPr>
          </w:p>
        </w:tc>
        <w:tc>
          <w:tcPr>
            <w:tcW w:w="8743" w:type="dxa"/>
          </w:tcPr>
          <w:p w14:paraId="2A682A49"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PM_DC32: </w:t>
            </w:r>
            <w:r w:rsidRPr="00AF391B">
              <w:rPr>
                <w:rFonts w:eastAsia="Calibri" w:cstheme="minorHAnsi"/>
                <w:bCs/>
                <w:color w:val="000000" w:themeColor="text1"/>
                <w:sz w:val="24"/>
                <w:szCs w:val="24"/>
                <w:lang w:val="en-US"/>
              </w:rPr>
              <w:t xml:space="preserve">Promotion of </w:t>
            </w:r>
            <w:r w:rsidRPr="00AF391B">
              <w:rPr>
                <w:rFonts w:cstheme="minorHAnsi"/>
                <w:sz w:val="24"/>
                <w:szCs w:val="24"/>
                <w:lang w:val="en-US"/>
              </w:rPr>
              <w:t>sustainable green cities for Moldova</w:t>
            </w:r>
          </w:p>
        </w:tc>
      </w:tr>
      <w:tr w:rsidR="00CA2CC3" w:rsidRPr="00E966AE" w14:paraId="64AE1741" w14:textId="77777777" w:rsidTr="00AB0FEE">
        <w:tc>
          <w:tcPr>
            <w:tcW w:w="1816" w:type="dxa"/>
            <w:vMerge/>
          </w:tcPr>
          <w:p w14:paraId="013E715A" w14:textId="77777777" w:rsidR="00CA2CC3" w:rsidRPr="00AF391B" w:rsidRDefault="00CA2CC3" w:rsidP="00AB0FEE">
            <w:pPr>
              <w:jc w:val="both"/>
              <w:rPr>
                <w:rFonts w:cstheme="minorHAnsi"/>
                <w:sz w:val="24"/>
                <w:szCs w:val="24"/>
                <w:lang w:val="en-US"/>
              </w:rPr>
            </w:pPr>
          </w:p>
        </w:tc>
        <w:tc>
          <w:tcPr>
            <w:tcW w:w="3435" w:type="dxa"/>
            <w:vMerge/>
          </w:tcPr>
          <w:p w14:paraId="538F3561" w14:textId="77777777" w:rsidR="00CA2CC3" w:rsidRPr="00AF391B" w:rsidRDefault="00CA2CC3" w:rsidP="00AB0FEE">
            <w:pPr>
              <w:jc w:val="both"/>
              <w:rPr>
                <w:rFonts w:cstheme="minorHAnsi"/>
                <w:sz w:val="24"/>
                <w:szCs w:val="24"/>
                <w:lang w:val="en-US"/>
              </w:rPr>
            </w:pPr>
          </w:p>
        </w:tc>
        <w:tc>
          <w:tcPr>
            <w:tcW w:w="8743" w:type="dxa"/>
          </w:tcPr>
          <w:p w14:paraId="37FFA01C"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PM_DC33: </w:t>
            </w:r>
            <w:r w:rsidRPr="00AF391B">
              <w:rPr>
                <w:rFonts w:eastAsia="Calibri" w:cstheme="minorHAnsi"/>
                <w:bCs/>
                <w:color w:val="000000" w:themeColor="text1"/>
                <w:sz w:val="24"/>
                <w:szCs w:val="24"/>
                <w:lang w:val="en-US"/>
              </w:rPr>
              <w:t>Promotion of biofuels and bio-liquids</w:t>
            </w:r>
          </w:p>
        </w:tc>
      </w:tr>
      <w:tr w:rsidR="00CA2CC3" w:rsidRPr="00E966AE" w14:paraId="041268F0" w14:textId="77777777" w:rsidTr="00AB0FEE">
        <w:tc>
          <w:tcPr>
            <w:tcW w:w="1816" w:type="dxa"/>
            <w:vMerge/>
          </w:tcPr>
          <w:p w14:paraId="05BF0497" w14:textId="77777777" w:rsidR="00CA2CC3" w:rsidRPr="00AF391B" w:rsidRDefault="00CA2CC3" w:rsidP="00AB0FEE">
            <w:pPr>
              <w:jc w:val="both"/>
              <w:rPr>
                <w:rFonts w:cstheme="minorHAnsi"/>
                <w:sz w:val="24"/>
                <w:szCs w:val="24"/>
                <w:lang w:val="en-US"/>
              </w:rPr>
            </w:pPr>
          </w:p>
        </w:tc>
        <w:tc>
          <w:tcPr>
            <w:tcW w:w="3435" w:type="dxa"/>
            <w:vMerge/>
          </w:tcPr>
          <w:p w14:paraId="0C1FBE85" w14:textId="77777777" w:rsidR="00CA2CC3" w:rsidRPr="00AF391B" w:rsidRDefault="00CA2CC3" w:rsidP="00AB0FEE">
            <w:pPr>
              <w:jc w:val="both"/>
              <w:rPr>
                <w:rFonts w:cstheme="minorHAnsi"/>
                <w:sz w:val="24"/>
                <w:szCs w:val="24"/>
                <w:lang w:val="en-US"/>
              </w:rPr>
            </w:pPr>
          </w:p>
        </w:tc>
        <w:tc>
          <w:tcPr>
            <w:tcW w:w="8743" w:type="dxa"/>
          </w:tcPr>
          <w:p w14:paraId="38DCA77E"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PM_DC34: </w:t>
            </w:r>
            <w:r w:rsidRPr="00AF391B">
              <w:rPr>
                <w:rFonts w:eastAsia="Calibri" w:cstheme="minorHAnsi"/>
                <w:bCs/>
                <w:color w:val="000000" w:themeColor="text1"/>
                <w:sz w:val="24"/>
                <w:szCs w:val="24"/>
                <w:lang w:val="en-US"/>
              </w:rPr>
              <w:t>Promotion of</w:t>
            </w:r>
            <w:r w:rsidRPr="00AF391B">
              <w:rPr>
                <w:rFonts w:cstheme="minorHAnsi"/>
                <w:sz w:val="24"/>
                <w:szCs w:val="24"/>
                <w:lang w:val="en-US"/>
              </w:rPr>
              <w:t xml:space="preserve"> the electrification of road and rail transport</w:t>
            </w:r>
          </w:p>
        </w:tc>
      </w:tr>
      <w:tr w:rsidR="00CA2CC3" w:rsidRPr="00E966AE" w14:paraId="023D5451" w14:textId="77777777" w:rsidTr="00AB0FEE">
        <w:tc>
          <w:tcPr>
            <w:tcW w:w="1816" w:type="dxa"/>
            <w:vMerge/>
          </w:tcPr>
          <w:p w14:paraId="515082B2" w14:textId="77777777" w:rsidR="00CA2CC3" w:rsidRPr="00AF391B" w:rsidRDefault="00CA2CC3" w:rsidP="00AB0FEE">
            <w:pPr>
              <w:jc w:val="both"/>
              <w:rPr>
                <w:rFonts w:cstheme="minorHAnsi"/>
                <w:sz w:val="24"/>
                <w:szCs w:val="24"/>
                <w:lang w:val="en-US"/>
              </w:rPr>
            </w:pPr>
          </w:p>
        </w:tc>
        <w:tc>
          <w:tcPr>
            <w:tcW w:w="3435" w:type="dxa"/>
            <w:vMerge/>
          </w:tcPr>
          <w:p w14:paraId="18B2D9C2" w14:textId="77777777" w:rsidR="00CA2CC3" w:rsidRPr="00AF391B" w:rsidRDefault="00CA2CC3" w:rsidP="00AB0FEE">
            <w:pPr>
              <w:jc w:val="both"/>
              <w:rPr>
                <w:rFonts w:cstheme="minorHAnsi"/>
                <w:sz w:val="24"/>
                <w:szCs w:val="24"/>
                <w:lang w:val="en-US"/>
              </w:rPr>
            </w:pPr>
          </w:p>
        </w:tc>
        <w:tc>
          <w:tcPr>
            <w:tcW w:w="8743" w:type="dxa"/>
          </w:tcPr>
          <w:p w14:paraId="20589AF4"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PM_DC35: </w:t>
            </w:r>
            <w:r w:rsidRPr="00AF391B">
              <w:rPr>
                <w:rFonts w:eastAsia="Calibri" w:cstheme="minorHAnsi"/>
                <w:bCs/>
                <w:color w:val="000000" w:themeColor="text1"/>
                <w:sz w:val="24"/>
                <w:szCs w:val="24"/>
                <w:lang w:val="en-US"/>
              </w:rPr>
              <w:t>Promotion of green technologies in private sector</w:t>
            </w:r>
          </w:p>
        </w:tc>
      </w:tr>
      <w:tr w:rsidR="00CA2CC3" w:rsidRPr="00E966AE" w14:paraId="2A78B52F" w14:textId="77777777" w:rsidTr="00AB0FEE">
        <w:tc>
          <w:tcPr>
            <w:tcW w:w="1816" w:type="dxa"/>
            <w:vMerge/>
          </w:tcPr>
          <w:p w14:paraId="05D85A75" w14:textId="77777777" w:rsidR="00CA2CC3" w:rsidRPr="00AF391B" w:rsidRDefault="00CA2CC3" w:rsidP="00AB0FEE">
            <w:pPr>
              <w:jc w:val="both"/>
              <w:rPr>
                <w:rFonts w:cstheme="minorHAnsi"/>
                <w:sz w:val="24"/>
                <w:szCs w:val="24"/>
                <w:lang w:val="en-US"/>
              </w:rPr>
            </w:pPr>
          </w:p>
        </w:tc>
        <w:tc>
          <w:tcPr>
            <w:tcW w:w="3435" w:type="dxa"/>
            <w:vMerge/>
          </w:tcPr>
          <w:p w14:paraId="5812E25E" w14:textId="77777777" w:rsidR="00CA2CC3" w:rsidRPr="00AF391B" w:rsidRDefault="00CA2CC3" w:rsidP="00AB0FEE">
            <w:pPr>
              <w:jc w:val="both"/>
              <w:rPr>
                <w:rFonts w:cstheme="minorHAnsi"/>
                <w:sz w:val="24"/>
                <w:szCs w:val="24"/>
                <w:lang w:val="en-US"/>
              </w:rPr>
            </w:pPr>
          </w:p>
        </w:tc>
        <w:tc>
          <w:tcPr>
            <w:tcW w:w="8743" w:type="dxa"/>
          </w:tcPr>
          <w:p w14:paraId="678312E4"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PM_DC36: </w:t>
            </w:r>
            <w:r w:rsidRPr="00AF391B">
              <w:rPr>
                <w:rFonts w:eastAsia="Calibri" w:cstheme="minorHAnsi"/>
                <w:bCs/>
                <w:color w:val="000000" w:themeColor="text1"/>
                <w:sz w:val="24"/>
                <w:szCs w:val="24"/>
                <w:lang w:val="en-US"/>
              </w:rPr>
              <w:t>Promotion of energy efficiency in SME</w:t>
            </w:r>
          </w:p>
        </w:tc>
      </w:tr>
      <w:tr w:rsidR="00CA2CC3" w:rsidRPr="00E966AE" w14:paraId="4FFAE0D6" w14:textId="77777777" w:rsidTr="00AB0FEE">
        <w:tc>
          <w:tcPr>
            <w:tcW w:w="1816" w:type="dxa"/>
            <w:vMerge/>
          </w:tcPr>
          <w:p w14:paraId="73CB8551" w14:textId="77777777" w:rsidR="00CA2CC3" w:rsidRPr="00AF391B" w:rsidRDefault="00CA2CC3" w:rsidP="00AB0FEE">
            <w:pPr>
              <w:jc w:val="both"/>
              <w:rPr>
                <w:rFonts w:cstheme="minorHAnsi"/>
                <w:sz w:val="24"/>
                <w:szCs w:val="24"/>
                <w:lang w:val="en-US"/>
              </w:rPr>
            </w:pPr>
          </w:p>
        </w:tc>
        <w:tc>
          <w:tcPr>
            <w:tcW w:w="3435" w:type="dxa"/>
            <w:vMerge/>
          </w:tcPr>
          <w:p w14:paraId="61C66BEF" w14:textId="77777777" w:rsidR="00CA2CC3" w:rsidRPr="00AF391B" w:rsidRDefault="00CA2CC3" w:rsidP="00AB0FEE">
            <w:pPr>
              <w:jc w:val="both"/>
              <w:rPr>
                <w:rFonts w:cstheme="minorHAnsi"/>
                <w:sz w:val="24"/>
                <w:szCs w:val="24"/>
                <w:lang w:val="en-US"/>
              </w:rPr>
            </w:pPr>
          </w:p>
        </w:tc>
        <w:tc>
          <w:tcPr>
            <w:tcW w:w="8743" w:type="dxa"/>
          </w:tcPr>
          <w:p w14:paraId="1427A53D"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PM_DC37: </w:t>
            </w:r>
            <w:r w:rsidRPr="00AF391B">
              <w:rPr>
                <w:rFonts w:eastAsia="Calibri" w:cstheme="minorHAnsi"/>
                <w:bCs/>
                <w:color w:val="000000" w:themeColor="text1"/>
                <w:sz w:val="24"/>
                <w:szCs w:val="24"/>
                <w:lang w:val="en-US"/>
              </w:rPr>
              <w:t>Promotion of innovative technologies in SME</w:t>
            </w:r>
          </w:p>
        </w:tc>
      </w:tr>
      <w:tr w:rsidR="00CA2CC3" w:rsidRPr="00E966AE" w14:paraId="5D9B6CF5" w14:textId="77777777" w:rsidTr="00AB0FEE">
        <w:tc>
          <w:tcPr>
            <w:tcW w:w="1816" w:type="dxa"/>
            <w:vMerge/>
          </w:tcPr>
          <w:p w14:paraId="66905D1D" w14:textId="77777777" w:rsidR="00CA2CC3" w:rsidRPr="00AF391B" w:rsidRDefault="00CA2CC3" w:rsidP="00AB0FEE">
            <w:pPr>
              <w:jc w:val="both"/>
              <w:rPr>
                <w:rFonts w:cstheme="minorHAnsi"/>
                <w:sz w:val="24"/>
                <w:szCs w:val="24"/>
                <w:lang w:val="en-US"/>
              </w:rPr>
            </w:pPr>
          </w:p>
        </w:tc>
        <w:tc>
          <w:tcPr>
            <w:tcW w:w="3435" w:type="dxa"/>
            <w:vMerge/>
          </w:tcPr>
          <w:p w14:paraId="4B51068A" w14:textId="77777777" w:rsidR="00CA2CC3" w:rsidRPr="00AF391B" w:rsidRDefault="00CA2CC3" w:rsidP="00AB0FEE">
            <w:pPr>
              <w:jc w:val="both"/>
              <w:rPr>
                <w:rFonts w:cstheme="minorHAnsi"/>
                <w:sz w:val="24"/>
                <w:szCs w:val="24"/>
                <w:lang w:val="en-US"/>
              </w:rPr>
            </w:pPr>
          </w:p>
        </w:tc>
        <w:tc>
          <w:tcPr>
            <w:tcW w:w="8743" w:type="dxa"/>
          </w:tcPr>
          <w:p w14:paraId="7E74B046"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PM_DC38: </w:t>
            </w:r>
            <w:r w:rsidRPr="00AF391B">
              <w:rPr>
                <w:rFonts w:eastAsia="Calibri" w:cstheme="minorHAnsi"/>
                <w:bCs/>
                <w:color w:val="000000" w:themeColor="text1"/>
                <w:sz w:val="24"/>
                <w:szCs w:val="24"/>
                <w:lang w:val="en-US"/>
              </w:rPr>
              <w:t xml:space="preserve">Promotion of </w:t>
            </w:r>
            <w:r w:rsidRPr="00AF391B">
              <w:rPr>
                <w:rFonts w:cstheme="minorHAnsi"/>
                <w:sz w:val="24"/>
                <w:szCs w:val="24"/>
                <w:lang w:val="en-US"/>
              </w:rPr>
              <w:t>Rural Competitiveness and Resilience</w:t>
            </w:r>
          </w:p>
        </w:tc>
      </w:tr>
      <w:tr w:rsidR="00CA2CC3" w:rsidRPr="00E966AE" w14:paraId="15860C0B" w14:textId="77777777" w:rsidTr="00AB0FEE">
        <w:tc>
          <w:tcPr>
            <w:tcW w:w="1816" w:type="dxa"/>
            <w:vMerge/>
          </w:tcPr>
          <w:p w14:paraId="2EAFD2D7" w14:textId="77777777" w:rsidR="00CA2CC3" w:rsidRPr="00AF391B" w:rsidRDefault="00CA2CC3" w:rsidP="00AB0FEE">
            <w:pPr>
              <w:jc w:val="both"/>
              <w:rPr>
                <w:rFonts w:cstheme="minorHAnsi"/>
                <w:sz w:val="24"/>
                <w:szCs w:val="24"/>
                <w:lang w:val="en-US"/>
              </w:rPr>
            </w:pPr>
          </w:p>
        </w:tc>
        <w:tc>
          <w:tcPr>
            <w:tcW w:w="3435" w:type="dxa"/>
            <w:vMerge/>
          </w:tcPr>
          <w:p w14:paraId="2A3841CC" w14:textId="77777777" w:rsidR="00CA2CC3" w:rsidRPr="00AF391B" w:rsidRDefault="00CA2CC3" w:rsidP="00AB0FEE">
            <w:pPr>
              <w:jc w:val="both"/>
              <w:rPr>
                <w:rFonts w:cstheme="minorHAnsi"/>
                <w:sz w:val="24"/>
                <w:szCs w:val="24"/>
                <w:lang w:val="en-US"/>
              </w:rPr>
            </w:pPr>
          </w:p>
        </w:tc>
        <w:tc>
          <w:tcPr>
            <w:tcW w:w="8743" w:type="dxa"/>
          </w:tcPr>
          <w:p w14:paraId="4B40F1B8"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PM_DC39: </w:t>
            </w:r>
            <w:r w:rsidRPr="00AF391B">
              <w:rPr>
                <w:rFonts w:eastAsia="Calibri" w:cstheme="minorHAnsi"/>
                <w:bCs/>
                <w:color w:val="000000" w:themeColor="text1"/>
                <w:sz w:val="24"/>
                <w:szCs w:val="24"/>
                <w:lang w:val="en-US"/>
              </w:rPr>
              <w:t xml:space="preserve">Promotion of </w:t>
            </w:r>
            <w:r w:rsidRPr="00AF391B">
              <w:rPr>
                <w:rFonts w:cstheme="minorHAnsi"/>
                <w:sz w:val="24"/>
                <w:szCs w:val="24"/>
                <w:lang w:val="en-US"/>
              </w:rPr>
              <w:t>energy communities</w:t>
            </w:r>
          </w:p>
        </w:tc>
      </w:tr>
      <w:tr w:rsidR="00CA2CC3" w:rsidRPr="00E966AE" w14:paraId="6778ACF9" w14:textId="77777777" w:rsidTr="00AB0FEE">
        <w:tc>
          <w:tcPr>
            <w:tcW w:w="1816" w:type="dxa"/>
            <w:vMerge/>
          </w:tcPr>
          <w:p w14:paraId="5288C08F" w14:textId="77777777" w:rsidR="00CA2CC3" w:rsidRPr="00AF391B" w:rsidRDefault="00CA2CC3" w:rsidP="00AB0FEE">
            <w:pPr>
              <w:jc w:val="both"/>
              <w:rPr>
                <w:rFonts w:cstheme="minorHAnsi"/>
                <w:sz w:val="24"/>
                <w:szCs w:val="24"/>
                <w:lang w:val="en-US"/>
              </w:rPr>
            </w:pPr>
          </w:p>
        </w:tc>
        <w:tc>
          <w:tcPr>
            <w:tcW w:w="3435" w:type="dxa"/>
            <w:vMerge/>
          </w:tcPr>
          <w:p w14:paraId="6350217D" w14:textId="77777777" w:rsidR="00CA2CC3" w:rsidRPr="00AF391B" w:rsidRDefault="00CA2CC3" w:rsidP="00AB0FEE">
            <w:pPr>
              <w:jc w:val="both"/>
              <w:rPr>
                <w:rFonts w:cstheme="minorHAnsi"/>
                <w:sz w:val="24"/>
                <w:szCs w:val="24"/>
                <w:lang w:val="en-US"/>
              </w:rPr>
            </w:pPr>
          </w:p>
        </w:tc>
        <w:tc>
          <w:tcPr>
            <w:tcW w:w="8743" w:type="dxa"/>
          </w:tcPr>
          <w:p w14:paraId="142195B3"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 xml:space="preserve">PM_DC40: </w:t>
            </w:r>
            <w:r w:rsidRPr="00AF391B">
              <w:rPr>
                <w:rFonts w:eastAsia="Calibri" w:cstheme="minorHAnsi"/>
                <w:bCs/>
                <w:color w:val="000000" w:themeColor="text1"/>
                <w:sz w:val="24"/>
                <w:szCs w:val="24"/>
                <w:lang w:val="en-US"/>
              </w:rPr>
              <w:t xml:space="preserve">Promotion of </w:t>
            </w:r>
            <w:r w:rsidRPr="00AF391B">
              <w:rPr>
                <w:rFonts w:cstheme="minorHAnsi"/>
                <w:sz w:val="24"/>
                <w:szCs w:val="24"/>
                <w:lang w:val="en-US"/>
              </w:rPr>
              <w:t>biomass for electricity production</w:t>
            </w:r>
          </w:p>
        </w:tc>
      </w:tr>
      <w:tr w:rsidR="00CA2CC3" w:rsidRPr="00E966AE" w14:paraId="51B75FF3" w14:textId="77777777" w:rsidTr="00AB0FEE">
        <w:tc>
          <w:tcPr>
            <w:tcW w:w="1816" w:type="dxa"/>
            <w:vMerge/>
          </w:tcPr>
          <w:p w14:paraId="1B90A819" w14:textId="77777777" w:rsidR="00CA2CC3" w:rsidRPr="00AF391B" w:rsidRDefault="00CA2CC3" w:rsidP="00AB0FEE">
            <w:pPr>
              <w:jc w:val="both"/>
              <w:rPr>
                <w:rFonts w:cstheme="minorHAnsi"/>
                <w:sz w:val="24"/>
                <w:szCs w:val="24"/>
                <w:lang w:val="en-US"/>
              </w:rPr>
            </w:pPr>
          </w:p>
        </w:tc>
        <w:tc>
          <w:tcPr>
            <w:tcW w:w="3435" w:type="dxa"/>
            <w:vMerge/>
          </w:tcPr>
          <w:p w14:paraId="178D802E" w14:textId="77777777" w:rsidR="00CA2CC3" w:rsidRPr="00AF391B" w:rsidRDefault="00CA2CC3" w:rsidP="00AB0FEE">
            <w:pPr>
              <w:jc w:val="both"/>
              <w:rPr>
                <w:rFonts w:cstheme="minorHAnsi"/>
                <w:sz w:val="24"/>
                <w:szCs w:val="24"/>
                <w:lang w:val="en-US"/>
              </w:rPr>
            </w:pPr>
          </w:p>
        </w:tc>
        <w:tc>
          <w:tcPr>
            <w:tcW w:w="8743" w:type="dxa"/>
          </w:tcPr>
          <w:p w14:paraId="2A7B27EC"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PM_DC41: Action Plan for implementing the Roadmap for preparing and instituting carbon pricing in the Republic of Moldova</w:t>
            </w:r>
          </w:p>
        </w:tc>
      </w:tr>
      <w:tr w:rsidR="00CA2CC3" w:rsidRPr="00E966AE" w14:paraId="1B9792CD" w14:textId="77777777" w:rsidTr="00AB0FEE">
        <w:tc>
          <w:tcPr>
            <w:tcW w:w="1816" w:type="dxa"/>
            <w:vMerge/>
          </w:tcPr>
          <w:p w14:paraId="02E8D79B" w14:textId="77777777" w:rsidR="00CA2CC3" w:rsidRPr="00AF391B" w:rsidRDefault="00CA2CC3" w:rsidP="00AB0FEE">
            <w:pPr>
              <w:jc w:val="both"/>
              <w:rPr>
                <w:rFonts w:cstheme="minorHAnsi"/>
                <w:sz w:val="24"/>
                <w:szCs w:val="24"/>
                <w:lang w:val="en-US"/>
              </w:rPr>
            </w:pPr>
          </w:p>
        </w:tc>
        <w:tc>
          <w:tcPr>
            <w:tcW w:w="3435" w:type="dxa"/>
            <w:vMerge/>
          </w:tcPr>
          <w:p w14:paraId="39A3FF1F" w14:textId="77777777" w:rsidR="00CA2CC3" w:rsidRPr="00AF391B" w:rsidRDefault="00CA2CC3" w:rsidP="00AB0FEE">
            <w:pPr>
              <w:jc w:val="both"/>
              <w:rPr>
                <w:rFonts w:cstheme="minorHAnsi"/>
                <w:sz w:val="24"/>
                <w:szCs w:val="24"/>
                <w:lang w:val="en-US"/>
              </w:rPr>
            </w:pPr>
          </w:p>
        </w:tc>
        <w:tc>
          <w:tcPr>
            <w:tcW w:w="8743" w:type="dxa"/>
          </w:tcPr>
          <w:p w14:paraId="637F0960"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PM_DC42: Promotion of the national process of planning the adaptation of the Republic of Moldova to climate change (Stage 2)</w:t>
            </w:r>
          </w:p>
        </w:tc>
      </w:tr>
      <w:tr w:rsidR="00CA2CC3" w:rsidRPr="00E966AE" w14:paraId="3DD5A63B" w14:textId="77777777" w:rsidTr="00AB0FEE">
        <w:tc>
          <w:tcPr>
            <w:tcW w:w="1816" w:type="dxa"/>
            <w:vMerge/>
          </w:tcPr>
          <w:p w14:paraId="20E77DAB" w14:textId="77777777" w:rsidR="00CA2CC3" w:rsidRPr="00AF391B" w:rsidRDefault="00CA2CC3" w:rsidP="00AB0FEE">
            <w:pPr>
              <w:jc w:val="both"/>
              <w:rPr>
                <w:rFonts w:cstheme="minorHAnsi"/>
                <w:sz w:val="24"/>
                <w:szCs w:val="24"/>
                <w:lang w:val="en-US"/>
              </w:rPr>
            </w:pPr>
          </w:p>
        </w:tc>
        <w:tc>
          <w:tcPr>
            <w:tcW w:w="3435" w:type="dxa"/>
            <w:vMerge/>
          </w:tcPr>
          <w:p w14:paraId="6BCCCFA0" w14:textId="77777777" w:rsidR="00CA2CC3" w:rsidRPr="00AF391B" w:rsidRDefault="00CA2CC3" w:rsidP="00AB0FEE">
            <w:pPr>
              <w:jc w:val="both"/>
              <w:rPr>
                <w:rFonts w:cstheme="minorHAnsi"/>
                <w:sz w:val="24"/>
                <w:szCs w:val="24"/>
                <w:lang w:val="en-US"/>
              </w:rPr>
            </w:pPr>
          </w:p>
        </w:tc>
        <w:tc>
          <w:tcPr>
            <w:tcW w:w="8743" w:type="dxa"/>
          </w:tcPr>
          <w:p w14:paraId="2B462A68" w14:textId="77777777" w:rsidR="00CA2CC3" w:rsidRPr="00AF391B" w:rsidRDefault="00CA2CC3" w:rsidP="00AB0FEE">
            <w:pPr>
              <w:jc w:val="both"/>
              <w:rPr>
                <w:rFonts w:cstheme="minorHAnsi"/>
                <w:sz w:val="24"/>
                <w:szCs w:val="24"/>
                <w:lang w:val="en-US"/>
              </w:rPr>
            </w:pPr>
            <w:r w:rsidRPr="00AF391B">
              <w:rPr>
                <w:rFonts w:cstheme="minorHAnsi"/>
                <w:bCs/>
                <w:sz w:val="24"/>
                <w:szCs w:val="24"/>
                <w:lang w:val="en-US"/>
              </w:rPr>
              <w:t>PM_DC44: Promotion of fiscal incentives for electrical vehicles</w:t>
            </w:r>
          </w:p>
        </w:tc>
      </w:tr>
      <w:tr w:rsidR="00CA2CC3" w:rsidRPr="00E966AE" w14:paraId="12216A6C" w14:textId="77777777" w:rsidTr="00AB0FEE">
        <w:tc>
          <w:tcPr>
            <w:tcW w:w="1816" w:type="dxa"/>
            <w:vMerge/>
          </w:tcPr>
          <w:p w14:paraId="48570617" w14:textId="77777777" w:rsidR="00CA2CC3" w:rsidRPr="00AF391B" w:rsidRDefault="00CA2CC3" w:rsidP="00AB0FEE">
            <w:pPr>
              <w:jc w:val="both"/>
              <w:rPr>
                <w:rFonts w:cstheme="minorHAnsi"/>
                <w:sz w:val="24"/>
                <w:szCs w:val="24"/>
                <w:lang w:val="en-US"/>
              </w:rPr>
            </w:pPr>
          </w:p>
        </w:tc>
        <w:tc>
          <w:tcPr>
            <w:tcW w:w="3435" w:type="dxa"/>
          </w:tcPr>
          <w:p w14:paraId="4D918655"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 xml:space="preserve">Ensuring the institutional framework for coordination in the area of monitoring, reporting and verification, as well as facilitating the integration of </w:t>
            </w:r>
            <w:r w:rsidRPr="00AF391B">
              <w:rPr>
                <w:rFonts w:cstheme="minorHAnsi"/>
                <w:bCs/>
                <w:sz w:val="24"/>
                <w:szCs w:val="24"/>
                <w:lang w:val="en-US"/>
              </w:rPr>
              <w:lastRenderedPageBreak/>
              <w:t>climate change aspects into national and sectoral programs and plans</w:t>
            </w:r>
          </w:p>
        </w:tc>
        <w:tc>
          <w:tcPr>
            <w:tcW w:w="8743" w:type="dxa"/>
          </w:tcPr>
          <w:p w14:paraId="62DB4CE2"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lastRenderedPageBreak/>
              <w:t>PM_DC3: Climate Change Coordination Mechanism</w:t>
            </w:r>
          </w:p>
        </w:tc>
      </w:tr>
      <w:tr w:rsidR="00CA2CC3" w:rsidRPr="00E966AE" w14:paraId="36800F0D" w14:textId="77777777" w:rsidTr="00AB0FEE">
        <w:tc>
          <w:tcPr>
            <w:tcW w:w="1816" w:type="dxa"/>
            <w:vMerge/>
          </w:tcPr>
          <w:p w14:paraId="26FC6F6D" w14:textId="77777777" w:rsidR="00CA2CC3" w:rsidRPr="00AF391B" w:rsidRDefault="00CA2CC3" w:rsidP="00AB0FEE">
            <w:pPr>
              <w:jc w:val="both"/>
              <w:rPr>
                <w:rFonts w:cstheme="minorHAnsi"/>
                <w:sz w:val="24"/>
                <w:szCs w:val="24"/>
                <w:lang w:val="en-US"/>
              </w:rPr>
            </w:pPr>
          </w:p>
        </w:tc>
        <w:tc>
          <w:tcPr>
            <w:tcW w:w="3435" w:type="dxa"/>
          </w:tcPr>
          <w:p w14:paraId="3D4B794C"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 xml:space="preserve">Specific objective 5: </w:t>
            </w:r>
            <w:r w:rsidRPr="00AF391B">
              <w:rPr>
                <w:rFonts w:cstheme="minorHAnsi"/>
                <w:bCs/>
                <w:i/>
                <w:sz w:val="24"/>
                <w:szCs w:val="24"/>
                <w:lang w:val="en-US"/>
              </w:rPr>
              <w:t>“Increasing the resilience of priority sectors by financing activities in the field of adaptation to climate change and reducing the risks and negative impacts of climate hazards”</w:t>
            </w:r>
            <w:r w:rsidRPr="00AF391B">
              <w:rPr>
                <w:rFonts w:cstheme="minorHAnsi"/>
                <w:bCs/>
                <w:sz w:val="24"/>
                <w:szCs w:val="24"/>
                <w:lang w:val="en-US"/>
              </w:rPr>
              <w:t>;</w:t>
            </w:r>
          </w:p>
          <w:p w14:paraId="13792424"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 xml:space="preserve">Priority action 5.2:  </w:t>
            </w:r>
            <w:r w:rsidRPr="00AF391B">
              <w:rPr>
                <w:rFonts w:cstheme="minorHAnsi"/>
                <w:bCs/>
                <w:i/>
                <w:sz w:val="24"/>
                <w:szCs w:val="24"/>
                <w:lang w:val="en-US"/>
              </w:rPr>
              <w:t>“Increasing the energy efficiency and resilience of the energy sector infrastructure by adjusting to forecasted hydro-meteorological parameters”</w:t>
            </w:r>
          </w:p>
        </w:tc>
        <w:tc>
          <w:tcPr>
            <w:tcW w:w="8743" w:type="dxa"/>
          </w:tcPr>
          <w:p w14:paraId="296C3027"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PM_DC5: The National Climate Change Adaptation Program until 2030 and the Action Plan for its implementation</w:t>
            </w:r>
          </w:p>
        </w:tc>
      </w:tr>
      <w:tr w:rsidR="00CA2CC3" w:rsidRPr="00E966AE" w14:paraId="10EA07FA" w14:textId="77777777" w:rsidTr="00AB0FEE">
        <w:tc>
          <w:tcPr>
            <w:tcW w:w="1816" w:type="dxa"/>
            <w:vMerge/>
          </w:tcPr>
          <w:p w14:paraId="69CE391E" w14:textId="77777777" w:rsidR="00CA2CC3" w:rsidRPr="00AF391B" w:rsidRDefault="00CA2CC3" w:rsidP="00AB0FEE">
            <w:pPr>
              <w:jc w:val="both"/>
              <w:rPr>
                <w:rFonts w:cstheme="minorHAnsi"/>
                <w:sz w:val="24"/>
                <w:szCs w:val="24"/>
                <w:lang w:val="en-US"/>
              </w:rPr>
            </w:pPr>
          </w:p>
        </w:tc>
        <w:tc>
          <w:tcPr>
            <w:tcW w:w="3435" w:type="dxa"/>
          </w:tcPr>
          <w:p w14:paraId="2772141C"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Reduction of Pollution and GHG emissions</w:t>
            </w:r>
          </w:p>
        </w:tc>
        <w:tc>
          <w:tcPr>
            <w:tcW w:w="8743" w:type="dxa"/>
          </w:tcPr>
          <w:p w14:paraId="5E7A3256"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PM_DC11: Development of the secondary regulatory framework for the implementation of the Industrial Emissions Law no. 227/2022</w:t>
            </w:r>
          </w:p>
        </w:tc>
      </w:tr>
      <w:tr w:rsidR="00CA2CC3" w:rsidRPr="00E966AE" w14:paraId="4E34BCD5" w14:textId="77777777" w:rsidTr="00AB0FEE">
        <w:tc>
          <w:tcPr>
            <w:tcW w:w="1816" w:type="dxa"/>
            <w:vMerge/>
          </w:tcPr>
          <w:p w14:paraId="7D40C986" w14:textId="77777777" w:rsidR="00CA2CC3" w:rsidRPr="00AF391B" w:rsidRDefault="00CA2CC3" w:rsidP="00AB0FEE">
            <w:pPr>
              <w:jc w:val="both"/>
              <w:rPr>
                <w:rFonts w:cstheme="minorHAnsi"/>
                <w:sz w:val="24"/>
                <w:szCs w:val="24"/>
                <w:lang w:val="en-US"/>
              </w:rPr>
            </w:pPr>
          </w:p>
        </w:tc>
        <w:tc>
          <w:tcPr>
            <w:tcW w:w="3435" w:type="dxa"/>
          </w:tcPr>
          <w:p w14:paraId="3980135D"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F-gases emissions reduction</w:t>
            </w:r>
          </w:p>
        </w:tc>
        <w:tc>
          <w:tcPr>
            <w:tcW w:w="8743" w:type="dxa"/>
          </w:tcPr>
          <w:p w14:paraId="0173B007"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PM_DC12: Law on fluorinated greenhouse gases</w:t>
            </w:r>
          </w:p>
        </w:tc>
      </w:tr>
      <w:tr w:rsidR="00CA2CC3" w:rsidRPr="00E966AE" w14:paraId="7CCF2B25" w14:textId="77777777" w:rsidTr="00AB0FEE">
        <w:tc>
          <w:tcPr>
            <w:tcW w:w="1816" w:type="dxa"/>
            <w:vMerge/>
          </w:tcPr>
          <w:p w14:paraId="583D0B60" w14:textId="77777777" w:rsidR="00CA2CC3" w:rsidRPr="00AF391B" w:rsidRDefault="00CA2CC3" w:rsidP="00AB0FEE">
            <w:pPr>
              <w:jc w:val="both"/>
              <w:rPr>
                <w:rFonts w:cstheme="minorHAnsi"/>
                <w:sz w:val="24"/>
                <w:szCs w:val="24"/>
                <w:lang w:val="en-US"/>
              </w:rPr>
            </w:pPr>
          </w:p>
        </w:tc>
        <w:tc>
          <w:tcPr>
            <w:tcW w:w="3435" w:type="dxa"/>
          </w:tcPr>
          <w:p w14:paraId="38EA3891"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To manage usage, identify energy saving opportunities, conserve consumption and reduce carbon emissions</w:t>
            </w:r>
          </w:p>
        </w:tc>
        <w:tc>
          <w:tcPr>
            <w:tcW w:w="8743" w:type="dxa"/>
          </w:tcPr>
          <w:p w14:paraId="0C88F296"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PM_DC13: Implementation of the energy management system according to the Moldovan Standard SM EN ISO 50001: 2019</w:t>
            </w:r>
          </w:p>
        </w:tc>
      </w:tr>
      <w:tr w:rsidR="00CA2CC3" w:rsidRPr="00AF391B" w14:paraId="106FDA6A" w14:textId="77777777" w:rsidTr="00AB0FEE">
        <w:tc>
          <w:tcPr>
            <w:tcW w:w="1816" w:type="dxa"/>
            <w:vMerge/>
          </w:tcPr>
          <w:p w14:paraId="32B735A9" w14:textId="77777777" w:rsidR="00CA2CC3" w:rsidRPr="00AF391B" w:rsidRDefault="00CA2CC3" w:rsidP="00AB0FEE">
            <w:pPr>
              <w:jc w:val="both"/>
              <w:rPr>
                <w:rFonts w:cstheme="minorHAnsi"/>
                <w:bCs/>
                <w:sz w:val="24"/>
                <w:szCs w:val="24"/>
                <w:lang w:val="en-US"/>
              </w:rPr>
            </w:pPr>
          </w:p>
        </w:tc>
        <w:tc>
          <w:tcPr>
            <w:tcW w:w="3435" w:type="dxa"/>
            <w:vMerge w:val="restart"/>
          </w:tcPr>
          <w:p w14:paraId="39925AC1"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Increase of carbon removals</w:t>
            </w:r>
          </w:p>
        </w:tc>
        <w:tc>
          <w:tcPr>
            <w:tcW w:w="8743" w:type="dxa"/>
          </w:tcPr>
          <w:p w14:paraId="3EB06718"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PM_DC23: Land afforestation</w:t>
            </w:r>
          </w:p>
        </w:tc>
      </w:tr>
      <w:tr w:rsidR="00CA2CC3" w:rsidRPr="00E966AE" w14:paraId="58C963F2" w14:textId="77777777" w:rsidTr="00AB0FEE">
        <w:tc>
          <w:tcPr>
            <w:tcW w:w="1816" w:type="dxa"/>
            <w:vMerge/>
          </w:tcPr>
          <w:p w14:paraId="2E1ACE0E" w14:textId="77777777" w:rsidR="00CA2CC3" w:rsidRPr="00AF391B" w:rsidRDefault="00CA2CC3" w:rsidP="00AB0FEE">
            <w:pPr>
              <w:jc w:val="both"/>
              <w:rPr>
                <w:rFonts w:cstheme="minorHAnsi"/>
                <w:bCs/>
                <w:sz w:val="24"/>
                <w:szCs w:val="24"/>
                <w:lang w:val="en-US"/>
              </w:rPr>
            </w:pPr>
          </w:p>
        </w:tc>
        <w:tc>
          <w:tcPr>
            <w:tcW w:w="3435" w:type="dxa"/>
            <w:vMerge/>
          </w:tcPr>
          <w:p w14:paraId="555FB5BE" w14:textId="77777777" w:rsidR="00CA2CC3" w:rsidRPr="00AF391B" w:rsidRDefault="00CA2CC3" w:rsidP="00AB0FEE">
            <w:pPr>
              <w:jc w:val="both"/>
              <w:rPr>
                <w:rFonts w:cstheme="minorHAnsi"/>
                <w:bCs/>
                <w:sz w:val="24"/>
                <w:szCs w:val="24"/>
                <w:lang w:val="en-US"/>
              </w:rPr>
            </w:pPr>
          </w:p>
        </w:tc>
        <w:tc>
          <w:tcPr>
            <w:tcW w:w="8743" w:type="dxa"/>
          </w:tcPr>
          <w:p w14:paraId="53CC1EE0"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PM_DC24: Creation of forest protection curtains</w:t>
            </w:r>
          </w:p>
        </w:tc>
      </w:tr>
      <w:tr w:rsidR="00CA2CC3" w:rsidRPr="00E966AE" w14:paraId="7FCF0FD8" w14:textId="77777777" w:rsidTr="00AB0FEE">
        <w:tc>
          <w:tcPr>
            <w:tcW w:w="1816" w:type="dxa"/>
            <w:vMerge/>
          </w:tcPr>
          <w:p w14:paraId="410C1C52" w14:textId="77777777" w:rsidR="00CA2CC3" w:rsidRPr="00AF391B" w:rsidRDefault="00CA2CC3" w:rsidP="00AB0FEE">
            <w:pPr>
              <w:jc w:val="both"/>
              <w:rPr>
                <w:rFonts w:cstheme="minorHAnsi"/>
                <w:bCs/>
                <w:sz w:val="24"/>
                <w:szCs w:val="24"/>
                <w:lang w:val="en-US"/>
              </w:rPr>
            </w:pPr>
          </w:p>
        </w:tc>
        <w:tc>
          <w:tcPr>
            <w:tcW w:w="3435" w:type="dxa"/>
            <w:vMerge/>
          </w:tcPr>
          <w:p w14:paraId="08A754BA" w14:textId="77777777" w:rsidR="00CA2CC3" w:rsidRPr="00AF391B" w:rsidRDefault="00CA2CC3" w:rsidP="00AB0FEE">
            <w:pPr>
              <w:jc w:val="both"/>
              <w:rPr>
                <w:rFonts w:cstheme="minorHAnsi"/>
                <w:bCs/>
                <w:sz w:val="24"/>
                <w:szCs w:val="24"/>
                <w:lang w:val="en-US"/>
              </w:rPr>
            </w:pPr>
          </w:p>
        </w:tc>
        <w:tc>
          <w:tcPr>
            <w:tcW w:w="8743" w:type="dxa"/>
          </w:tcPr>
          <w:p w14:paraId="166A1C5E"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PM_DC25: Planting of energy forestry crops</w:t>
            </w:r>
          </w:p>
        </w:tc>
      </w:tr>
      <w:tr w:rsidR="00CA2CC3" w:rsidRPr="00E966AE" w14:paraId="5104A978" w14:textId="77777777" w:rsidTr="00AB0FEE">
        <w:tc>
          <w:tcPr>
            <w:tcW w:w="1816" w:type="dxa"/>
            <w:vMerge/>
          </w:tcPr>
          <w:p w14:paraId="459FDF88" w14:textId="77777777" w:rsidR="00CA2CC3" w:rsidRPr="00AF391B" w:rsidRDefault="00CA2CC3" w:rsidP="00AB0FEE">
            <w:pPr>
              <w:jc w:val="both"/>
              <w:rPr>
                <w:rFonts w:cstheme="minorHAnsi"/>
                <w:bCs/>
                <w:sz w:val="24"/>
                <w:szCs w:val="24"/>
                <w:lang w:val="en-US"/>
              </w:rPr>
            </w:pPr>
          </w:p>
        </w:tc>
        <w:tc>
          <w:tcPr>
            <w:tcW w:w="3435" w:type="dxa"/>
          </w:tcPr>
          <w:p w14:paraId="214F4D3C"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Pollutant emissions reduction</w:t>
            </w:r>
          </w:p>
        </w:tc>
        <w:tc>
          <w:tcPr>
            <w:tcW w:w="8743" w:type="dxa"/>
          </w:tcPr>
          <w:p w14:paraId="7A52AEB1"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PM_DC43: Promotion of considerable reductions in fine particle emissions and black carbon from roads</w:t>
            </w:r>
          </w:p>
        </w:tc>
      </w:tr>
      <w:tr w:rsidR="00CA2CC3" w:rsidRPr="00E966AE" w14:paraId="79048BA9" w14:textId="77777777" w:rsidTr="00AB0FEE">
        <w:tc>
          <w:tcPr>
            <w:tcW w:w="1816" w:type="dxa"/>
            <w:vMerge w:val="restart"/>
          </w:tcPr>
          <w:p w14:paraId="3AE65376"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Energy Efficiency</w:t>
            </w:r>
          </w:p>
        </w:tc>
        <w:tc>
          <w:tcPr>
            <w:tcW w:w="3435" w:type="dxa"/>
            <w:vMerge w:val="restart"/>
          </w:tcPr>
          <w:p w14:paraId="311C9ACD" w14:textId="77777777" w:rsidR="00CA2CC3" w:rsidRPr="00AF391B" w:rsidRDefault="00CA2CC3" w:rsidP="00AB0FEE">
            <w:pPr>
              <w:spacing w:after="120"/>
              <w:jc w:val="both"/>
              <w:rPr>
                <w:rFonts w:cstheme="minorHAnsi"/>
                <w:sz w:val="24"/>
                <w:szCs w:val="24"/>
                <w:lang w:val="en-US"/>
              </w:rPr>
            </w:pPr>
            <w:r w:rsidRPr="00AF391B">
              <w:rPr>
                <w:rFonts w:cstheme="minorHAnsi"/>
                <w:sz w:val="24"/>
                <w:szCs w:val="24"/>
                <w:lang w:val="en-US"/>
              </w:rPr>
              <w:t xml:space="preserve">Contribution to attaining the national target for energy </w:t>
            </w:r>
            <w:r w:rsidRPr="00AF391B">
              <w:rPr>
                <w:rFonts w:cstheme="minorHAnsi"/>
                <w:sz w:val="24"/>
                <w:szCs w:val="24"/>
                <w:lang w:val="en-US"/>
              </w:rPr>
              <w:lastRenderedPageBreak/>
              <w:t xml:space="preserve">consumption is of 2.80 Mtoe in the Final Energy Consumption in 2030. </w:t>
            </w:r>
          </w:p>
          <w:p w14:paraId="316B8882" w14:textId="77777777" w:rsidR="00CA2CC3" w:rsidRPr="00AF391B" w:rsidRDefault="00CA2CC3" w:rsidP="00AB0FEE">
            <w:pPr>
              <w:spacing w:after="120"/>
              <w:jc w:val="both"/>
              <w:rPr>
                <w:rFonts w:cstheme="minorHAnsi"/>
                <w:bCs/>
                <w:sz w:val="24"/>
                <w:szCs w:val="24"/>
                <w:lang w:val="en-US"/>
              </w:rPr>
            </w:pPr>
            <w:r w:rsidRPr="00AF391B">
              <w:rPr>
                <w:rFonts w:cstheme="minorHAnsi"/>
                <w:sz w:val="24"/>
                <w:szCs w:val="24"/>
                <w:lang w:val="en-US"/>
              </w:rPr>
              <w:t>In terms of maximum Share of Primary Energy Consumption, the target is of 3.00 Mtoe in 2030.</w:t>
            </w:r>
          </w:p>
          <w:p w14:paraId="0560BB7F" w14:textId="77777777" w:rsidR="00CA2CC3" w:rsidRPr="00AF391B" w:rsidRDefault="00CA2CC3" w:rsidP="00AB0FEE">
            <w:pPr>
              <w:spacing w:after="120"/>
              <w:jc w:val="both"/>
              <w:rPr>
                <w:rFonts w:cstheme="minorHAnsi"/>
                <w:bCs/>
                <w:sz w:val="24"/>
                <w:szCs w:val="24"/>
                <w:lang w:val="en-US"/>
              </w:rPr>
            </w:pPr>
            <w:r w:rsidRPr="00AF391B">
              <w:rPr>
                <w:rFonts w:cstheme="minorHAnsi"/>
                <w:bCs/>
                <w:sz w:val="24"/>
                <w:szCs w:val="24"/>
                <w:lang w:val="en-US"/>
              </w:rPr>
              <w:t>Implementation of the Directive (EU) 2012/27, as amended by Directive (EU) 2018/2002, Law on Energy Performance of Buildings;</w:t>
            </w:r>
          </w:p>
          <w:p w14:paraId="6B05A990" w14:textId="77777777" w:rsidR="00CA2CC3" w:rsidRPr="00AF391B" w:rsidRDefault="00CA2CC3" w:rsidP="00AB0FEE">
            <w:pPr>
              <w:spacing w:after="120"/>
              <w:jc w:val="both"/>
              <w:rPr>
                <w:rFonts w:cstheme="minorHAnsi"/>
                <w:bCs/>
                <w:sz w:val="24"/>
                <w:szCs w:val="24"/>
                <w:lang w:val="en-US"/>
              </w:rPr>
            </w:pPr>
            <w:r w:rsidRPr="00AF391B">
              <w:rPr>
                <w:rFonts w:cstheme="minorHAnsi"/>
                <w:bCs/>
                <w:sz w:val="24"/>
                <w:szCs w:val="24"/>
                <w:lang w:val="en-US"/>
              </w:rPr>
              <w:t>Assessment of the implementation of Law No. 139/2018 on Energy Efficiency</w:t>
            </w:r>
          </w:p>
          <w:p w14:paraId="5346DC84" w14:textId="77777777" w:rsidR="00CA2CC3" w:rsidRPr="00AF391B" w:rsidRDefault="00CA2CC3" w:rsidP="00AB0FEE">
            <w:pPr>
              <w:spacing w:after="120"/>
              <w:jc w:val="both"/>
              <w:rPr>
                <w:rFonts w:cstheme="minorHAnsi"/>
                <w:bCs/>
                <w:sz w:val="24"/>
                <w:szCs w:val="24"/>
                <w:lang w:val="en-US"/>
              </w:rPr>
            </w:pPr>
            <w:r w:rsidRPr="00AF391B">
              <w:rPr>
                <w:rFonts w:cstheme="minorHAnsi"/>
                <w:bCs/>
                <w:sz w:val="24"/>
                <w:szCs w:val="24"/>
                <w:lang w:val="en-US"/>
              </w:rPr>
              <w:t>Implementation of the Law No. 139/2018 on Energy Efficiency, transposition and implementation of Directive (EU) 2012/27/EU as amended by Directive (EU) 2018/2002;</w:t>
            </w:r>
          </w:p>
          <w:p w14:paraId="6086A0AC" w14:textId="77777777" w:rsidR="00CA2CC3" w:rsidRPr="00AF391B" w:rsidRDefault="00CA2CC3" w:rsidP="00AB0FEE">
            <w:pPr>
              <w:spacing w:after="120"/>
              <w:jc w:val="both"/>
              <w:rPr>
                <w:rFonts w:cstheme="minorHAnsi"/>
                <w:bCs/>
                <w:sz w:val="24"/>
                <w:szCs w:val="24"/>
                <w:lang w:val="en-US"/>
              </w:rPr>
            </w:pPr>
            <w:r w:rsidRPr="00AF391B">
              <w:rPr>
                <w:rFonts w:cstheme="minorHAnsi"/>
                <w:bCs/>
                <w:sz w:val="24"/>
                <w:szCs w:val="24"/>
                <w:lang w:val="en-US"/>
              </w:rPr>
              <w:t>Reduce greenhouse gas emissions and enhance climate resilience in the buildings sector, increase share of RES in electricity, increase share of RES in heating and Cooling;</w:t>
            </w:r>
          </w:p>
          <w:p w14:paraId="27CED5D4" w14:textId="77777777" w:rsidR="00CA2CC3" w:rsidRPr="00AF391B" w:rsidRDefault="00CA2CC3" w:rsidP="00AB0FEE">
            <w:pPr>
              <w:spacing w:after="120"/>
              <w:jc w:val="both"/>
              <w:rPr>
                <w:rFonts w:cstheme="minorHAnsi"/>
                <w:bCs/>
                <w:sz w:val="24"/>
                <w:szCs w:val="24"/>
                <w:lang w:val="en-US"/>
              </w:rPr>
            </w:pPr>
            <w:r w:rsidRPr="00AF391B">
              <w:rPr>
                <w:rFonts w:cstheme="minorHAnsi"/>
                <w:bCs/>
                <w:sz w:val="24"/>
                <w:szCs w:val="24"/>
                <w:lang w:val="en-US"/>
              </w:rPr>
              <w:lastRenderedPageBreak/>
              <w:t>Consumer protection and improvement of competition, enable EE at the supply side (i.e. through the reduction of losses)</w:t>
            </w:r>
          </w:p>
        </w:tc>
        <w:tc>
          <w:tcPr>
            <w:tcW w:w="8743" w:type="dxa"/>
          </w:tcPr>
          <w:p w14:paraId="44EDFCB5"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lastRenderedPageBreak/>
              <w:t>PM_EE1: Residential Building Refurbishment</w:t>
            </w:r>
          </w:p>
        </w:tc>
      </w:tr>
      <w:tr w:rsidR="00CA2CC3" w:rsidRPr="00E966AE" w14:paraId="04F01693" w14:textId="77777777" w:rsidTr="00AB0FEE">
        <w:tc>
          <w:tcPr>
            <w:tcW w:w="1816" w:type="dxa"/>
            <w:vMerge/>
          </w:tcPr>
          <w:p w14:paraId="3E6EBF6A" w14:textId="77777777" w:rsidR="00CA2CC3" w:rsidRPr="00AF391B" w:rsidRDefault="00CA2CC3" w:rsidP="00AB0FEE">
            <w:pPr>
              <w:jc w:val="both"/>
              <w:rPr>
                <w:rFonts w:cstheme="minorHAnsi"/>
                <w:bCs/>
                <w:sz w:val="24"/>
                <w:szCs w:val="24"/>
                <w:lang w:val="en-US"/>
              </w:rPr>
            </w:pPr>
          </w:p>
        </w:tc>
        <w:tc>
          <w:tcPr>
            <w:tcW w:w="3435" w:type="dxa"/>
            <w:vMerge/>
          </w:tcPr>
          <w:p w14:paraId="39B22A70" w14:textId="77777777" w:rsidR="00CA2CC3" w:rsidRPr="00AF391B" w:rsidRDefault="00CA2CC3" w:rsidP="00AB0FEE">
            <w:pPr>
              <w:jc w:val="both"/>
              <w:rPr>
                <w:rFonts w:cstheme="minorHAnsi"/>
                <w:bCs/>
                <w:sz w:val="24"/>
                <w:szCs w:val="24"/>
                <w:lang w:val="en-US"/>
              </w:rPr>
            </w:pPr>
          </w:p>
        </w:tc>
        <w:tc>
          <w:tcPr>
            <w:tcW w:w="8743" w:type="dxa"/>
          </w:tcPr>
          <w:p w14:paraId="0312D7DE"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PM_EE2: Public Sector Building Refurbishment</w:t>
            </w:r>
          </w:p>
        </w:tc>
      </w:tr>
      <w:tr w:rsidR="00CA2CC3" w:rsidRPr="00E966AE" w14:paraId="1594AE02" w14:textId="77777777" w:rsidTr="00AB0FEE">
        <w:tc>
          <w:tcPr>
            <w:tcW w:w="1816" w:type="dxa"/>
            <w:vMerge/>
          </w:tcPr>
          <w:p w14:paraId="099EBE5B" w14:textId="77777777" w:rsidR="00CA2CC3" w:rsidRPr="00AF391B" w:rsidRDefault="00CA2CC3" w:rsidP="00AB0FEE">
            <w:pPr>
              <w:jc w:val="both"/>
              <w:rPr>
                <w:rFonts w:cstheme="minorHAnsi"/>
                <w:bCs/>
                <w:sz w:val="24"/>
                <w:szCs w:val="24"/>
                <w:lang w:val="en-US"/>
              </w:rPr>
            </w:pPr>
          </w:p>
        </w:tc>
        <w:tc>
          <w:tcPr>
            <w:tcW w:w="3435" w:type="dxa"/>
            <w:vMerge/>
          </w:tcPr>
          <w:p w14:paraId="29F94EF7" w14:textId="77777777" w:rsidR="00CA2CC3" w:rsidRPr="00AF391B" w:rsidRDefault="00CA2CC3" w:rsidP="00AB0FEE">
            <w:pPr>
              <w:jc w:val="both"/>
              <w:rPr>
                <w:rFonts w:cstheme="minorHAnsi"/>
                <w:bCs/>
                <w:sz w:val="24"/>
                <w:szCs w:val="24"/>
                <w:lang w:val="en-US"/>
              </w:rPr>
            </w:pPr>
          </w:p>
        </w:tc>
        <w:tc>
          <w:tcPr>
            <w:tcW w:w="8743" w:type="dxa"/>
          </w:tcPr>
          <w:p w14:paraId="5C5720DD"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PM_EE3: Creation of databases (inventories) on the stock of buildings</w:t>
            </w:r>
          </w:p>
        </w:tc>
      </w:tr>
      <w:tr w:rsidR="00CA2CC3" w:rsidRPr="00E966AE" w14:paraId="2B4F0892" w14:textId="77777777" w:rsidTr="00AB0FEE">
        <w:tc>
          <w:tcPr>
            <w:tcW w:w="1816" w:type="dxa"/>
            <w:vMerge/>
          </w:tcPr>
          <w:p w14:paraId="03E42F8A" w14:textId="77777777" w:rsidR="00CA2CC3" w:rsidRPr="00AF391B" w:rsidRDefault="00CA2CC3" w:rsidP="00AB0FEE">
            <w:pPr>
              <w:jc w:val="both"/>
              <w:rPr>
                <w:rFonts w:cstheme="minorHAnsi"/>
                <w:bCs/>
                <w:sz w:val="24"/>
                <w:szCs w:val="24"/>
                <w:lang w:val="en-US"/>
              </w:rPr>
            </w:pPr>
          </w:p>
        </w:tc>
        <w:tc>
          <w:tcPr>
            <w:tcW w:w="3435" w:type="dxa"/>
            <w:vMerge/>
          </w:tcPr>
          <w:p w14:paraId="64006612" w14:textId="77777777" w:rsidR="00CA2CC3" w:rsidRPr="00AF391B" w:rsidRDefault="00CA2CC3" w:rsidP="00AB0FEE">
            <w:pPr>
              <w:jc w:val="both"/>
              <w:rPr>
                <w:rFonts w:cstheme="minorHAnsi"/>
                <w:bCs/>
                <w:sz w:val="24"/>
                <w:szCs w:val="24"/>
                <w:lang w:val="en-US"/>
              </w:rPr>
            </w:pPr>
          </w:p>
        </w:tc>
        <w:tc>
          <w:tcPr>
            <w:tcW w:w="8743" w:type="dxa"/>
          </w:tcPr>
          <w:p w14:paraId="7E58AF6E"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PM_EE4: Conducting a market assessment for the cost-optimal level of refurbishment</w:t>
            </w:r>
          </w:p>
        </w:tc>
      </w:tr>
      <w:tr w:rsidR="00CA2CC3" w:rsidRPr="00E966AE" w14:paraId="713BDDCA" w14:textId="77777777" w:rsidTr="00AB0FEE">
        <w:tc>
          <w:tcPr>
            <w:tcW w:w="1816" w:type="dxa"/>
            <w:vMerge/>
          </w:tcPr>
          <w:p w14:paraId="12089B63" w14:textId="77777777" w:rsidR="00CA2CC3" w:rsidRPr="00AF391B" w:rsidRDefault="00CA2CC3" w:rsidP="00AB0FEE">
            <w:pPr>
              <w:jc w:val="both"/>
              <w:rPr>
                <w:rFonts w:cstheme="minorHAnsi"/>
                <w:bCs/>
                <w:sz w:val="24"/>
                <w:szCs w:val="24"/>
                <w:lang w:val="en-US"/>
              </w:rPr>
            </w:pPr>
          </w:p>
        </w:tc>
        <w:tc>
          <w:tcPr>
            <w:tcW w:w="3435" w:type="dxa"/>
            <w:vMerge/>
          </w:tcPr>
          <w:p w14:paraId="6F3DF057" w14:textId="77777777" w:rsidR="00CA2CC3" w:rsidRPr="00AF391B" w:rsidRDefault="00CA2CC3" w:rsidP="00AB0FEE">
            <w:pPr>
              <w:jc w:val="both"/>
              <w:rPr>
                <w:rFonts w:cstheme="minorHAnsi"/>
                <w:bCs/>
                <w:sz w:val="24"/>
                <w:szCs w:val="24"/>
                <w:lang w:val="en-US"/>
              </w:rPr>
            </w:pPr>
          </w:p>
        </w:tc>
        <w:tc>
          <w:tcPr>
            <w:tcW w:w="8743" w:type="dxa"/>
          </w:tcPr>
          <w:p w14:paraId="363A2F78"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PM_EE5: Development of the missing parts for the calculation methodology and minimum energy efficiency requirements for new and rehabilitated buildings</w:t>
            </w:r>
          </w:p>
        </w:tc>
      </w:tr>
      <w:tr w:rsidR="00CA2CC3" w:rsidRPr="00E966AE" w14:paraId="2CEA43EC" w14:textId="77777777" w:rsidTr="00AB0FEE">
        <w:tc>
          <w:tcPr>
            <w:tcW w:w="1816" w:type="dxa"/>
            <w:vMerge/>
          </w:tcPr>
          <w:p w14:paraId="20B88E5D" w14:textId="77777777" w:rsidR="00CA2CC3" w:rsidRPr="00AF391B" w:rsidRDefault="00CA2CC3" w:rsidP="00AB0FEE">
            <w:pPr>
              <w:jc w:val="both"/>
              <w:rPr>
                <w:rFonts w:cstheme="minorHAnsi"/>
                <w:bCs/>
                <w:sz w:val="24"/>
                <w:szCs w:val="24"/>
                <w:lang w:val="en-US"/>
              </w:rPr>
            </w:pPr>
          </w:p>
        </w:tc>
        <w:tc>
          <w:tcPr>
            <w:tcW w:w="3435" w:type="dxa"/>
            <w:vMerge/>
          </w:tcPr>
          <w:p w14:paraId="633A428D" w14:textId="77777777" w:rsidR="00CA2CC3" w:rsidRPr="00AF391B" w:rsidRDefault="00CA2CC3" w:rsidP="00AB0FEE">
            <w:pPr>
              <w:jc w:val="both"/>
              <w:rPr>
                <w:rFonts w:cstheme="minorHAnsi"/>
                <w:bCs/>
                <w:sz w:val="24"/>
                <w:szCs w:val="24"/>
                <w:lang w:val="en-US"/>
              </w:rPr>
            </w:pPr>
          </w:p>
        </w:tc>
        <w:tc>
          <w:tcPr>
            <w:tcW w:w="8743" w:type="dxa"/>
          </w:tcPr>
          <w:p w14:paraId="4D1800FA"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PM_EE6: Creating a National Energy Efficiency Information System</w:t>
            </w:r>
          </w:p>
        </w:tc>
      </w:tr>
      <w:tr w:rsidR="00CA2CC3" w:rsidRPr="00E966AE" w14:paraId="6CE522F0" w14:textId="77777777" w:rsidTr="00AB0FEE">
        <w:tc>
          <w:tcPr>
            <w:tcW w:w="1816" w:type="dxa"/>
            <w:vMerge/>
          </w:tcPr>
          <w:p w14:paraId="323C8B0E" w14:textId="77777777" w:rsidR="00CA2CC3" w:rsidRPr="00AF391B" w:rsidRDefault="00CA2CC3" w:rsidP="00AB0FEE">
            <w:pPr>
              <w:jc w:val="both"/>
              <w:rPr>
                <w:rFonts w:cstheme="minorHAnsi"/>
                <w:bCs/>
                <w:sz w:val="24"/>
                <w:szCs w:val="24"/>
                <w:lang w:val="en-US"/>
              </w:rPr>
            </w:pPr>
          </w:p>
        </w:tc>
        <w:tc>
          <w:tcPr>
            <w:tcW w:w="3435" w:type="dxa"/>
            <w:vMerge/>
          </w:tcPr>
          <w:p w14:paraId="57AF5527" w14:textId="77777777" w:rsidR="00CA2CC3" w:rsidRPr="00AF391B" w:rsidRDefault="00CA2CC3" w:rsidP="00AB0FEE">
            <w:pPr>
              <w:jc w:val="both"/>
              <w:rPr>
                <w:rFonts w:cstheme="minorHAnsi"/>
                <w:bCs/>
                <w:sz w:val="24"/>
                <w:szCs w:val="24"/>
                <w:lang w:val="en-US"/>
              </w:rPr>
            </w:pPr>
          </w:p>
        </w:tc>
        <w:tc>
          <w:tcPr>
            <w:tcW w:w="8743" w:type="dxa"/>
          </w:tcPr>
          <w:p w14:paraId="7C62946D"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PM_EE7: Introducing energy efficiency certification of buildings (for inspection of heating/ventilation and air conditioning systems), adopt a plan for practically zero-energy buildings, etc.</w:t>
            </w:r>
          </w:p>
        </w:tc>
      </w:tr>
      <w:tr w:rsidR="00CA2CC3" w:rsidRPr="00E966AE" w14:paraId="2719372D" w14:textId="77777777" w:rsidTr="00AB0FEE">
        <w:tc>
          <w:tcPr>
            <w:tcW w:w="1816" w:type="dxa"/>
            <w:vMerge/>
          </w:tcPr>
          <w:p w14:paraId="2D7A4F71" w14:textId="77777777" w:rsidR="00CA2CC3" w:rsidRPr="00AF391B" w:rsidRDefault="00CA2CC3" w:rsidP="00AB0FEE">
            <w:pPr>
              <w:jc w:val="both"/>
              <w:rPr>
                <w:rFonts w:cstheme="minorHAnsi"/>
                <w:bCs/>
                <w:sz w:val="24"/>
                <w:szCs w:val="24"/>
                <w:lang w:val="en-US"/>
              </w:rPr>
            </w:pPr>
          </w:p>
        </w:tc>
        <w:tc>
          <w:tcPr>
            <w:tcW w:w="3435" w:type="dxa"/>
            <w:vMerge/>
          </w:tcPr>
          <w:p w14:paraId="48467E70" w14:textId="77777777" w:rsidR="00CA2CC3" w:rsidRPr="00AF391B" w:rsidRDefault="00CA2CC3" w:rsidP="00AB0FEE">
            <w:pPr>
              <w:jc w:val="both"/>
              <w:rPr>
                <w:rFonts w:cstheme="minorHAnsi"/>
                <w:bCs/>
                <w:sz w:val="24"/>
                <w:szCs w:val="24"/>
                <w:lang w:val="en-US"/>
              </w:rPr>
            </w:pPr>
          </w:p>
        </w:tc>
        <w:tc>
          <w:tcPr>
            <w:tcW w:w="8743" w:type="dxa"/>
          </w:tcPr>
          <w:p w14:paraId="536D671A"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PM_EE8: Fully transpose the provisions of the EU’s Energy Performance of Buildings Directive (EPBD)</w:t>
            </w:r>
          </w:p>
        </w:tc>
      </w:tr>
      <w:tr w:rsidR="00CA2CC3" w:rsidRPr="00E966AE" w14:paraId="6593E6C3" w14:textId="77777777" w:rsidTr="00AB0FEE">
        <w:tc>
          <w:tcPr>
            <w:tcW w:w="1816" w:type="dxa"/>
            <w:vMerge/>
          </w:tcPr>
          <w:p w14:paraId="0D666DF3" w14:textId="77777777" w:rsidR="00CA2CC3" w:rsidRPr="00AF391B" w:rsidRDefault="00CA2CC3" w:rsidP="00AB0FEE">
            <w:pPr>
              <w:jc w:val="both"/>
              <w:rPr>
                <w:rFonts w:cstheme="minorHAnsi"/>
                <w:bCs/>
                <w:sz w:val="24"/>
                <w:szCs w:val="24"/>
                <w:lang w:val="en-US"/>
              </w:rPr>
            </w:pPr>
          </w:p>
        </w:tc>
        <w:tc>
          <w:tcPr>
            <w:tcW w:w="3435" w:type="dxa"/>
            <w:vMerge/>
          </w:tcPr>
          <w:p w14:paraId="2D94CA63" w14:textId="77777777" w:rsidR="00CA2CC3" w:rsidRPr="00AF391B" w:rsidRDefault="00CA2CC3" w:rsidP="00AB0FEE">
            <w:pPr>
              <w:jc w:val="both"/>
              <w:rPr>
                <w:rFonts w:cstheme="minorHAnsi"/>
                <w:bCs/>
                <w:sz w:val="24"/>
                <w:szCs w:val="24"/>
                <w:lang w:val="en-US"/>
              </w:rPr>
            </w:pPr>
          </w:p>
        </w:tc>
        <w:tc>
          <w:tcPr>
            <w:tcW w:w="8743" w:type="dxa"/>
          </w:tcPr>
          <w:p w14:paraId="4024F9E7"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PM_EE11: Promotion of energy services and energy performance contracts</w:t>
            </w:r>
          </w:p>
        </w:tc>
      </w:tr>
      <w:tr w:rsidR="00CA2CC3" w:rsidRPr="00E966AE" w14:paraId="295A396F" w14:textId="77777777" w:rsidTr="00AB0FEE">
        <w:tc>
          <w:tcPr>
            <w:tcW w:w="1816" w:type="dxa"/>
            <w:vMerge/>
          </w:tcPr>
          <w:p w14:paraId="7608AA7E" w14:textId="77777777" w:rsidR="00CA2CC3" w:rsidRPr="00AF391B" w:rsidRDefault="00CA2CC3" w:rsidP="00AB0FEE">
            <w:pPr>
              <w:jc w:val="both"/>
              <w:rPr>
                <w:rFonts w:cstheme="minorHAnsi"/>
                <w:bCs/>
                <w:sz w:val="24"/>
                <w:szCs w:val="24"/>
                <w:lang w:val="en-US"/>
              </w:rPr>
            </w:pPr>
          </w:p>
        </w:tc>
        <w:tc>
          <w:tcPr>
            <w:tcW w:w="3435" w:type="dxa"/>
            <w:vMerge/>
          </w:tcPr>
          <w:p w14:paraId="458193F1" w14:textId="77777777" w:rsidR="00CA2CC3" w:rsidRPr="00AF391B" w:rsidRDefault="00CA2CC3" w:rsidP="00AB0FEE">
            <w:pPr>
              <w:jc w:val="both"/>
              <w:rPr>
                <w:rFonts w:cstheme="minorHAnsi"/>
                <w:bCs/>
                <w:sz w:val="24"/>
                <w:szCs w:val="24"/>
                <w:lang w:val="en-US"/>
              </w:rPr>
            </w:pPr>
          </w:p>
        </w:tc>
        <w:tc>
          <w:tcPr>
            <w:tcW w:w="8743" w:type="dxa"/>
          </w:tcPr>
          <w:p w14:paraId="17155B3F"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PM_EE12: Creation and development of the field of energy services, financial instruments and energy audit</w:t>
            </w:r>
          </w:p>
        </w:tc>
      </w:tr>
      <w:tr w:rsidR="00CA2CC3" w:rsidRPr="00E966AE" w14:paraId="18A6CD97" w14:textId="77777777" w:rsidTr="00AB0FEE">
        <w:tc>
          <w:tcPr>
            <w:tcW w:w="1816" w:type="dxa"/>
            <w:vMerge/>
          </w:tcPr>
          <w:p w14:paraId="055A1DFC" w14:textId="77777777" w:rsidR="00CA2CC3" w:rsidRPr="00AF391B" w:rsidRDefault="00CA2CC3" w:rsidP="00AB0FEE">
            <w:pPr>
              <w:jc w:val="both"/>
              <w:rPr>
                <w:rFonts w:cstheme="minorHAnsi"/>
                <w:bCs/>
                <w:sz w:val="24"/>
                <w:szCs w:val="24"/>
                <w:lang w:val="en-US"/>
              </w:rPr>
            </w:pPr>
          </w:p>
        </w:tc>
        <w:tc>
          <w:tcPr>
            <w:tcW w:w="3435" w:type="dxa"/>
            <w:vMerge/>
          </w:tcPr>
          <w:p w14:paraId="6D3D0B09" w14:textId="77777777" w:rsidR="00CA2CC3" w:rsidRPr="00AF391B" w:rsidRDefault="00CA2CC3" w:rsidP="00AB0FEE">
            <w:pPr>
              <w:jc w:val="both"/>
              <w:rPr>
                <w:rFonts w:cstheme="minorHAnsi"/>
                <w:bCs/>
                <w:sz w:val="24"/>
                <w:szCs w:val="24"/>
                <w:lang w:val="en-US"/>
              </w:rPr>
            </w:pPr>
          </w:p>
        </w:tc>
        <w:tc>
          <w:tcPr>
            <w:tcW w:w="8743" w:type="dxa"/>
          </w:tcPr>
          <w:p w14:paraId="59DD44D7"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PM_EE13: Development of a national program for the renewal of the vehicle fleet by introducing a differentiated environmental fee depending on the level of pollution</w:t>
            </w:r>
          </w:p>
        </w:tc>
      </w:tr>
      <w:tr w:rsidR="00CA2CC3" w:rsidRPr="00E966AE" w14:paraId="657616E7" w14:textId="77777777" w:rsidTr="00AB0FEE">
        <w:tc>
          <w:tcPr>
            <w:tcW w:w="1816" w:type="dxa"/>
            <w:vMerge/>
          </w:tcPr>
          <w:p w14:paraId="5229D965" w14:textId="77777777" w:rsidR="00CA2CC3" w:rsidRPr="00AF391B" w:rsidRDefault="00CA2CC3" w:rsidP="00AB0FEE">
            <w:pPr>
              <w:jc w:val="both"/>
              <w:rPr>
                <w:rFonts w:cstheme="minorHAnsi"/>
                <w:bCs/>
                <w:sz w:val="24"/>
                <w:szCs w:val="24"/>
                <w:lang w:val="en-US"/>
              </w:rPr>
            </w:pPr>
          </w:p>
        </w:tc>
        <w:tc>
          <w:tcPr>
            <w:tcW w:w="3435" w:type="dxa"/>
            <w:vMerge/>
          </w:tcPr>
          <w:p w14:paraId="2A85D2BB" w14:textId="77777777" w:rsidR="00CA2CC3" w:rsidRPr="00AF391B" w:rsidRDefault="00CA2CC3" w:rsidP="00AB0FEE">
            <w:pPr>
              <w:jc w:val="both"/>
              <w:rPr>
                <w:rFonts w:cstheme="minorHAnsi"/>
                <w:bCs/>
                <w:sz w:val="24"/>
                <w:szCs w:val="24"/>
                <w:lang w:val="en-US"/>
              </w:rPr>
            </w:pPr>
          </w:p>
        </w:tc>
        <w:tc>
          <w:tcPr>
            <w:tcW w:w="8743" w:type="dxa"/>
          </w:tcPr>
          <w:p w14:paraId="6AF21E02"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PM_EE14: Supporting the development of incentives for the import of electric and hybrid vehicles, as well as the development of national infrastructure required for electric vehicles, charging points and parking infrastructure</w:t>
            </w:r>
          </w:p>
        </w:tc>
      </w:tr>
      <w:tr w:rsidR="00CA2CC3" w:rsidRPr="00E966AE" w14:paraId="7D635133" w14:textId="77777777" w:rsidTr="00AB0FEE">
        <w:tc>
          <w:tcPr>
            <w:tcW w:w="1816" w:type="dxa"/>
            <w:vMerge/>
          </w:tcPr>
          <w:p w14:paraId="7E599692" w14:textId="77777777" w:rsidR="00CA2CC3" w:rsidRPr="00AF391B" w:rsidRDefault="00CA2CC3" w:rsidP="00AB0FEE">
            <w:pPr>
              <w:jc w:val="both"/>
              <w:rPr>
                <w:rFonts w:cstheme="minorHAnsi"/>
                <w:bCs/>
                <w:sz w:val="24"/>
                <w:szCs w:val="24"/>
                <w:lang w:val="en-US"/>
              </w:rPr>
            </w:pPr>
          </w:p>
        </w:tc>
        <w:tc>
          <w:tcPr>
            <w:tcW w:w="3435" w:type="dxa"/>
            <w:vMerge/>
          </w:tcPr>
          <w:p w14:paraId="4DF26C81" w14:textId="77777777" w:rsidR="00CA2CC3" w:rsidRPr="00AF391B" w:rsidRDefault="00CA2CC3" w:rsidP="00AB0FEE">
            <w:pPr>
              <w:jc w:val="both"/>
              <w:rPr>
                <w:rFonts w:cstheme="minorHAnsi"/>
                <w:bCs/>
                <w:sz w:val="24"/>
                <w:szCs w:val="24"/>
                <w:lang w:val="en-US"/>
              </w:rPr>
            </w:pPr>
          </w:p>
        </w:tc>
        <w:tc>
          <w:tcPr>
            <w:tcW w:w="8743" w:type="dxa"/>
          </w:tcPr>
          <w:p w14:paraId="6839684D"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PM_EE15: Create initiatives to support the transition of residential and urban public transport or freight transport to hybrid or electric vehicles</w:t>
            </w:r>
          </w:p>
        </w:tc>
      </w:tr>
      <w:tr w:rsidR="00CA2CC3" w:rsidRPr="00E966AE" w14:paraId="20B5FA88" w14:textId="77777777" w:rsidTr="00AB0FEE">
        <w:tc>
          <w:tcPr>
            <w:tcW w:w="1816" w:type="dxa"/>
            <w:vMerge/>
          </w:tcPr>
          <w:p w14:paraId="662EFBB3" w14:textId="77777777" w:rsidR="00CA2CC3" w:rsidRPr="00AF391B" w:rsidRDefault="00CA2CC3" w:rsidP="00AB0FEE">
            <w:pPr>
              <w:jc w:val="both"/>
              <w:rPr>
                <w:rFonts w:cstheme="minorHAnsi"/>
                <w:bCs/>
                <w:sz w:val="24"/>
                <w:szCs w:val="24"/>
                <w:lang w:val="en-US"/>
              </w:rPr>
            </w:pPr>
          </w:p>
        </w:tc>
        <w:tc>
          <w:tcPr>
            <w:tcW w:w="3435" w:type="dxa"/>
            <w:vMerge/>
          </w:tcPr>
          <w:p w14:paraId="337AEAB4" w14:textId="77777777" w:rsidR="00CA2CC3" w:rsidRPr="00AF391B" w:rsidRDefault="00CA2CC3" w:rsidP="00AB0FEE">
            <w:pPr>
              <w:jc w:val="both"/>
              <w:rPr>
                <w:rFonts w:cstheme="minorHAnsi"/>
                <w:bCs/>
                <w:sz w:val="24"/>
                <w:szCs w:val="24"/>
                <w:lang w:val="en-US"/>
              </w:rPr>
            </w:pPr>
          </w:p>
        </w:tc>
        <w:tc>
          <w:tcPr>
            <w:tcW w:w="8743" w:type="dxa"/>
          </w:tcPr>
          <w:p w14:paraId="0D8ACBB8"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PM_EE16: Increase in the share of rail transport</w:t>
            </w:r>
          </w:p>
        </w:tc>
      </w:tr>
      <w:tr w:rsidR="00CA2CC3" w:rsidRPr="00E966AE" w14:paraId="59D98DE5" w14:textId="77777777" w:rsidTr="00AB0FEE">
        <w:tc>
          <w:tcPr>
            <w:tcW w:w="1816" w:type="dxa"/>
            <w:vMerge/>
          </w:tcPr>
          <w:p w14:paraId="0058FF17" w14:textId="77777777" w:rsidR="00CA2CC3" w:rsidRPr="00AF391B" w:rsidRDefault="00CA2CC3" w:rsidP="00AB0FEE">
            <w:pPr>
              <w:jc w:val="both"/>
              <w:rPr>
                <w:rFonts w:cstheme="minorHAnsi"/>
                <w:bCs/>
                <w:sz w:val="24"/>
                <w:szCs w:val="24"/>
                <w:lang w:val="en-US"/>
              </w:rPr>
            </w:pPr>
          </w:p>
        </w:tc>
        <w:tc>
          <w:tcPr>
            <w:tcW w:w="3435" w:type="dxa"/>
            <w:vMerge/>
          </w:tcPr>
          <w:p w14:paraId="713EB400" w14:textId="77777777" w:rsidR="00CA2CC3" w:rsidRPr="00AF391B" w:rsidRDefault="00CA2CC3" w:rsidP="00AB0FEE">
            <w:pPr>
              <w:jc w:val="both"/>
              <w:rPr>
                <w:rFonts w:cstheme="minorHAnsi"/>
                <w:bCs/>
                <w:sz w:val="24"/>
                <w:szCs w:val="24"/>
                <w:lang w:val="en-US"/>
              </w:rPr>
            </w:pPr>
          </w:p>
        </w:tc>
        <w:tc>
          <w:tcPr>
            <w:tcW w:w="8743" w:type="dxa"/>
          </w:tcPr>
          <w:p w14:paraId="0D8C4902"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 xml:space="preserve">PM_EE17: Promoting sustainable mobility </w:t>
            </w:r>
          </w:p>
        </w:tc>
      </w:tr>
      <w:tr w:rsidR="00CA2CC3" w:rsidRPr="00E966AE" w14:paraId="20E390F5" w14:textId="77777777" w:rsidTr="00AB0FEE">
        <w:tc>
          <w:tcPr>
            <w:tcW w:w="1816" w:type="dxa"/>
            <w:vMerge/>
          </w:tcPr>
          <w:p w14:paraId="0A255E90" w14:textId="77777777" w:rsidR="00CA2CC3" w:rsidRPr="00AF391B" w:rsidRDefault="00CA2CC3" w:rsidP="00AB0FEE">
            <w:pPr>
              <w:jc w:val="both"/>
              <w:rPr>
                <w:rFonts w:cstheme="minorHAnsi"/>
                <w:bCs/>
                <w:sz w:val="24"/>
                <w:szCs w:val="24"/>
                <w:lang w:val="en-US"/>
              </w:rPr>
            </w:pPr>
          </w:p>
        </w:tc>
        <w:tc>
          <w:tcPr>
            <w:tcW w:w="3435" w:type="dxa"/>
            <w:vMerge/>
          </w:tcPr>
          <w:p w14:paraId="56A98205" w14:textId="77777777" w:rsidR="00CA2CC3" w:rsidRPr="00AF391B" w:rsidRDefault="00CA2CC3" w:rsidP="00AB0FEE">
            <w:pPr>
              <w:jc w:val="both"/>
              <w:rPr>
                <w:rFonts w:cstheme="minorHAnsi"/>
                <w:bCs/>
                <w:sz w:val="24"/>
                <w:szCs w:val="24"/>
                <w:lang w:val="en-US"/>
              </w:rPr>
            </w:pPr>
          </w:p>
        </w:tc>
        <w:tc>
          <w:tcPr>
            <w:tcW w:w="8743" w:type="dxa"/>
          </w:tcPr>
          <w:p w14:paraId="3FEDCD23"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 xml:space="preserve">PM_EE18: Implementation of a mandatory energy audit and ISO 50001 certification according to the Moldovan Standard SM EN ISO 50001: 2019 </w:t>
            </w:r>
          </w:p>
        </w:tc>
      </w:tr>
      <w:tr w:rsidR="00CA2CC3" w:rsidRPr="00E966AE" w14:paraId="1D678AAE" w14:textId="77777777" w:rsidTr="00AB0FEE">
        <w:tc>
          <w:tcPr>
            <w:tcW w:w="1816" w:type="dxa"/>
            <w:vMerge/>
          </w:tcPr>
          <w:p w14:paraId="553CC74B" w14:textId="77777777" w:rsidR="00CA2CC3" w:rsidRPr="00AF391B" w:rsidRDefault="00CA2CC3" w:rsidP="00AB0FEE">
            <w:pPr>
              <w:jc w:val="both"/>
              <w:rPr>
                <w:rFonts w:cstheme="minorHAnsi"/>
                <w:bCs/>
                <w:sz w:val="24"/>
                <w:szCs w:val="24"/>
                <w:lang w:val="en-US"/>
              </w:rPr>
            </w:pPr>
          </w:p>
        </w:tc>
        <w:tc>
          <w:tcPr>
            <w:tcW w:w="3435" w:type="dxa"/>
            <w:vMerge/>
          </w:tcPr>
          <w:p w14:paraId="17B65C3E" w14:textId="77777777" w:rsidR="00CA2CC3" w:rsidRPr="00AF391B" w:rsidRDefault="00CA2CC3" w:rsidP="00AB0FEE">
            <w:pPr>
              <w:jc w:val="both"/>
              <w:rPr>
                <w:rFonts w:cstheme="minorHAnsi"/>
                <w:bCs/>
                <w:sz w:val="24"/>
                <w:szCs w:val="24"/>
                <w:lang w:val="en-US"/>
              </w:rPr>
            </w:pPr>
          </w:p>
        </w:tc>
        <w:tc>
          <w:tcPr>
            <w:tcW w:w="8743" w:type="dxa"/>
          </w:tcPr>
          <w:p w14:paraId="49FD81C0"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 xml:space="preserve">PM_EE19: Implementation of requirements for energy labeling for products of energy impact </w:t>
            </w:r>
          </w:p>
        </w:tc>
      </w:tr>
      <w:tr w:rsidR="00CA2CC3" w:rsidRPr="00AF391B" w14:paraId="296FF059" w14:textId="77777777" w:rsidTr="00AB0FEE">
        <w:tc>
          <w:tcPr>
            <w:tcW w:w="1816" w:type="dxa"/>
            <w:vMerge/>
          </w:tcPr>
          <w:p w14:paraId="283FE637" w14:textId="77777777" w:rsidR="00CA2CC3" w:rsidRPr="00AF391B" w:rsidRDefault="00CA2CC3" w:rsidP="00AB0FEE">
            <w:pPr>
              <w:jc w:val="both"/>
              <w:rPr>
                <w:rFonts w:cstheme="minorHAnsi"/>
                <w:bCs/>
                <w:sz w:val="24"/>
                <w:szCs w:val="24"/>
                <w:lang w:val="en-US"/>
              </w:rPr>
            </w:pPr>
          </w:p>
        </w:tc>
        <w:tc>
          <w:tcPr>
            <w:tcW w:w="3435" w:type="dxa"/>
            <w:vMerge/>
          </w:tcPr>
          <w:p w14:paraId="366F9DE1" w14:textId="77777777" w:rsidR="00CA2CC3" w:rsidRPr="00AF391B" w:rsidRDefault="00CA2CC3" w:rsidP="00AB0FEE">
            <w:pPr>
              <w:jc w:val="both"/>
              <w:rPr>
                <w:rFonts w:cstheme="minorHAnsi"/>
                <w:bCs/>
                <w:sz w:val="24"/>
                <w:szCs w:val="24"/>
                <w:lang w:val="en-US"/>
              </w:rPr>
            </w:pPr>
          </w:p>
        </w:tc>
        <w:tc>
          <w:tcPr>
            <w:tcW w:w="8743" w:type="dxa"/>
          </w:tcPr>
          <w:p w14:paraId="730888AB"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PM_EE20: Introduction of obligations on environmental procurement</w:t>
            </w:r>
          </w:p>
        </w:tc>
      </w:tr>
      <w:tr w:rsidR="00CA2CC3" w:rsidRPr="00E966AE" w14:paraId="3E439996" w14:textId="77777777" w:rsidTr="00AB0FEE">
        <w:tc>
          <w:tcPr>
            <w:tcW w:w="1816" w:type="dxa"/>
            <w:vMerge/>
          </w:tcPr>
          <w:p w14:paraId="46645349" w14:textId="77777777" w:rsidR="00CA2CC3" w:rsidRPr="00AF391B" w:rsidRDefault="00CA2CC3" w:rsidP="00AB0FEE">
            <w:pPr>
              <w:jc w:val="both"/>
              <w:rPr>
                <w:rFonts w:cstheme="minorHAnsi"/>
                <w:bCs/>
                <w:sz w:val="24"/>
                <w:szCs w:val="24"/>
                <w:lang w:val="en-US"/>
              </w:rPr>
            </w:pPr>
          </w:p>
        </w:tc>
        <w:tc>
          <w:tcPr>
            <w:tcW w:w="3435" w:type="dxa"/>
            <w:vMerge/>
          </w:tcPr>
          <w:p w14:paraId="11DBDFE7" w14:textId="77777777" w:rsidR="00CA2CC3" w:rsidRPr="00AF391B" w:rsidRDefault="00CA2CC3" w:rsidP="00AB0FEE">
            <w:pPr>
              <w:jc w:val="both"/>
              <w:rPr>
                <w:rFonts w:cstheme="minorHAnsi"/>
                <w:bCs/>
                <w:sz w:val="24"/>
                <w:szCs w:val="24"/>
                <w:lang w:val="en-US"/>
              </w:rPr>
            </w:pPr>
          </w:p>
        </w:tc>
        <w:tc>
          <w:tcPr>
            <w:tcW w:w="8743" w:type="dxa"/>
          </w:tcPr>
          <w:p w14:paraId="3B29663A"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PM_EE21: Promoting of universal street lighting with a priority based on the supply from RES</w:t>
            </w:r>
          </w:p>
        </w:tc>
      </w:tr>
      <w:tr w:rsidR="00CA2CC3" w:rsidRPr="00E966AE" w14:paraId="4D51763E" w14:textId="77777777" w:rsidTr="00AB0FEE">
        <w:tc>
          <w:tcPr>
            <w:tcW w:w="1816" w:type="dxa"/>
            <w:vMerge/>
          </w:tcPr>
          <w:p w14:paraId="4267D327" w14:textId="77777777" w:rsidR="00CA2CC3" w:rsidRPr="00AF391B" w:rsidRDefault="00CA2CC3" w:rsidP="00AB0FEE">
            <w:pPr>
              <w:jc w:val="both"/>
              <w:rPr>
                <w:rFonts w:cstheme="minorHAnsi"/>
                <w:bCs/>
                <w:sz w:val="24"/>
                <w:szCs w:val="24"/>
                <w:lang w:val="en-US"/>
              </w:rPr>
            </w:pPr>
          </w:p>
        </w:tc>
        <w:tc>
          <w:tcPr>
            <w:tcW w:w="3435" w:type="dxa"/>
            <w:vMerge/>
          </w:tcPr>
          <w:p w14:paraId="241C59D5" w14:textId="77777777" w:rsidR="00CA2CC3" w:rsidRPr="00AF391B" w:rsidRDefault="00CA2CC3" w:rsidP="00AB0FEE">
            <w:pPr>
              <w:jc w:val="both"/>
              <w:rPr>
                <w:rFonts w:cstheme="minorHAnsi"/>
                <w:bCs/>
                <w:sz w:val="24"/>
                <w:szCs w:val="24"/>
                <w:lang w:val="en-US"/>
              </w:rPr>
            </w:pPr>
          </w:p>
        </w:tc>
        <w:tc>
          <w:tcPr>
            <w:tcW w:w="8743" w:type="dxa"/>
          </w:tcPr>
          <w:p w14:paraId="6EAF11F9"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 xml:space="preserve">PM_EE22: Promoting/modernizing highly efficient CHP units </w:t>
            </w:r>
          </w:p>
        </w:tc>
      </w:tr>
      <w:tr w:rsidR="00CA2CC3" w:rsidRPr="00E966AE" w14:paraId="5AD79B23" w14:textId="77777777" w:rsidTr="00AB0FEE">
        <w:tc>
          <w:tcPr>
            <w:tcW w:w="1816" w:type="dxa"/>
            <w:vMerge/>
          </w:tcPr>
          <w:p w14:paraId="4931FADF" w14:textId="77777777" w:rsidR="00CA2CC3" w:rsidRPr="00AF391B" w:rsidRDefault="00CA2CC3" w:rsidP="00AB0FEE">
            <w:pPr>
              <w:jc w:val="both"/>
              <w:rPr>
                <w:rFonts w:cstheme="minorHAnsi"/>
                <w:bCs/>
                <w:sz w:val="24"/>
                <w:szCs w:val="24"/>
                <w:lang w:val="en-US"/>
              </w:rPr>
            </w:pPr>
          </w:p>
        </w:tc>
        <w:tc>
          <w:tcPr>
            <w:tcW w:w="3435" w:type="dxa"/>
            <w:vMerge/>
          </w:tcPr>
          <w:p w14:paraId="1D720864" w14:textId="77777777" w:rsidR="00CA2CC3" w:rsidRPr="00AF391B" w:rsidRDefault="00CA2CC3" w:rsidP="00AB0FEE">
            <w:pPr>
              <w:jc w:val="both"/>
              <w:rPr>
                <w:rFonts w:cstheme="minorHAnsi"/>
                <w:bCs/>
                <w:sz w:val="24"/>
                <w:szCs w:val="24"/>
                <w:lang w:val="en-US"/>
              </w:rPr>
            </w:pPr>
          </w:p>
        </w:tc>
        <w:tc>
          <w:tcPr>
            <w:tcW w:w="8743" w:type="dxa"/>
          </w:tcPr>
          <w:p w14:paraId="3AB8B3D4"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PM_EE23: Modernizing of district heating networks</w:t>
            </w:r>
          </w:p>
        </w:tc>
      </w:tr>
      <w:tr w:rsidR="00CA2CC3" w:rsidRPr="00E966AE" w14:paraId="0B2585BA" w14:textId="77777777" w:rsidTr="00AB0FEE">
        <w:tc>
          <w:tcPr>
            <w:tcW w:w="1816" w:type="dxa"/>
            <w:vMerge/>
          </w:tcPr>
          <w:p w14:paraId="1C6786BA" w14:textId="77777777" w:rsidR="00CA2CC3" w:rsidRPr="00AF391B" w:rsidRDefault="00CA2CC3" w:rsidP="00AB0FEE">
            <w:pPr>
              <w:jc w:val="both"/>
              <w:rPr>
                <w:rFonts w:cstheme="minorHAnsi"/>
                <w:bCs/>
                <w:sz w:val="24"/>
                <w:szCs w:val="24"/>
                <w:lang w:val="en-US"/>
              </w:rPr>
            </w:pPr>
          </w:p>
        </w:tc>
        <w:tc>
          <w:tcPr>
            <w:tcW w:w="3435" w:type="dxa"/>
            <w:vMerge/>
          </w:tcPr>
          <w:p w14:paraId="4AA84E75" w14:textId="77777777" w:rsidR="00CA2CC3" w:rsidRPr="00AF391B" w:rsidRDefault="00CA2CC3" w:rsidP="00AB0FEE">
            <w:pPr>
              <w:jc w:val="both"/>
              <w:rPr>
                <w:rFonts w:cstheme="minorHAnsi"/>
                <w:bCs/>
                <w:sz w:val="24"/>
                <w:szCs w:val="24"/>
                <w:lang w:val="en-US"/>
              </w:rPr>
            </w:pPr>
          </w:p>
        </w:tc>
        <w:tc>
          <w:tcPr>
            <w:tcW w:w="8743" w:type="dxa"/>
          </w:tcPr>
          <w:p w14:paraId="35D6C3E2"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PM_EE24: Promotion of measures for improving energy efficiency in electricity infrastructure</w:t>
            </w:r>
          </w:p>
        </w:tc>
      </w:tr>
      <w:tr w:rsidR="00CA2CC3" w:rsidRPr="00E966AE" w14:paraId="15D97E11" w14:textId="77777777" w:rsidTr="00AB0FEE">
        <w:tc>
          <w:tcPr>
            <w:tcW w:w="1816" w:type="dxa"/>
            <w:vMerge/>
          </w:tcPr>
          <w:p w14:paraId="3987F521" w14:textId="77777777" w:rsidR="00CA2CC3" w:rsidRPr="00AF391B" w:rsidRDefault="00CA2CC3" w:rsidP="00AB0FEE">
            <w:pPr>
              <w:jc w:val="both"/>
              <w:rPr>
                <w:rFonts w:cstheme="minorHAnsi"/>
                <w:bCs/>
                <w:sz w:val="24"/>
                <w:szCs w:val="24"/>
                <w:lang w:val="en-US"/>
              </w:rPr>
            </w:pPr>
          </w:p>
        </w:tc>
        <w:tc>
          <w:tcPr>
            <w:tcW w:w="3435" w:type="dxa"/>
            <w:vMerge/>
          </w:tcPr>
          <w:p w14:paraId="2FD3D48C" w14:textId="77777777" w:rsidR="00CA2CC3" w:rsidRPr="00AF391B" w:rsidRDefault="00CA2CC3" w:rsidP="00AB0FEE">
            <w:pPr>
              <w:jc w:val="both"/>
              <w:rPr>
                <w:rFonts w:cstheme="minorHAnsi"/>
                <w:bCs/>
                <w:sz w:val="24"/>
                <w:szCs w:val="24"/>
                <w:lang w:val="en-US"/>
              </w:rPr>
            </w:pPr>
          </w:p>
        </w:tc>
        <w:tc>
          <w:tcPr>
            <w:tcW w:w="8743" w:type="dxa"/>
          </w:tcPr>
          <w:p w14:paraId="6C8DC55D"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PM_EE25: Promotion of measures for improving energy efficiency in natural gas infrastructure</w:t>
            </w:r>
          </w:p>
        </w:tc>
      </w:tr>
      <w:tr w:rsidR="00CA2CC3" w:rsidRPr="00E966AE" w14:paraId="4D6B98EF" w14:textId="77777777" w:rsidTr="00AB0FEE">
        <w:tc>
          <w:tcPr>
            <w:tcW w:w="1816" w:type="dxa"/>
            <w:vMerge/>
          </w:tcPr>
          <w:p w14:paraId="53C620A0" w14:textId="77777777" w:rsidR="00CA2CC3" w:rsidRPr="00AF391B" w:rsidRDefault="00CA2CC3" w:rsidP="00AB0FEE">
            <w:pPr>
              <w:jc w:val="both"/>
              <w:rPr>
                <w:rFonts w:cstheme="minorHAnsi"/>
                <w:bCs/>
                <w:sz w:val="24"/>
                <w:szCs w:val="24"/>
                <w:lang w:val="en-US"/>
              </w:rPr>
            </w:pPr>
          </w:p>
        </w:tc>
        <w:tc>
          <w:tcPr>
            <w:tcW w:w="3435" w:type="dxa"/>
            <w:vMerge/>
          </w:tcPr>
          <w:p w14:paraId="72DE7AC8" w14:textId="77777777" w:rsidR="00CA2CC3" w:rsidRPr="00AF391B" w:rsidRDefault="00CA2CC3" w:rsidP="00AB0FEE">
            <w:pPr>
              <w:jc w:val="both"/>
              <w:rPr>
                <w:rFonts w:cstheme="minorHAnsi"/>
                <w:bCs/>
                <w:sz w:val="24"/>
                <w:szCs w:val="24"/>
                <w:lang w:val="en-US"/>
              </w:rPr>
            </w:pPr>
          </w:p>
        </w:tc>
        <w:tc>
          <w:tcPr>
            <w:tcW w:w="8743" w:type="dxa"/>
          </w:tcPr>
          <w:p w14:paraId="5C1930A2"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PM_EE26: Development of sustainable and innovative financing of energy efficiency projects</w:t>
            </w:r>
          </w:p>
        </w:tc>
      </w:tr>
      <w:tr w:rsidR="00CA2CC3" w:rsidRPr="00E966AE" w14:paraId="7C1930CA" w14:textId="77777777" w:rsidTr="00AB0FEE">
        <w:tc>
          <w:tcPr>
            <w:tcW w:w="1816" w:type="dxa"/>
            <w:vMerge/>
          </w:tcPr>
          <w:p w14:paraId="33D6D9BF" w14:textId="77777777" w:rsidR="00CA2CC3" w:rsidRPr="00AF391B" w:rsidRDefault="00CA2CC3" w:rsidP="00AB0FEE">
            <w:pPr>
              <w:jc w:val="both"/>
              <w:rPr>
                <w:rFonts w:cstheme="minorHAnsi"/>
                <w:bCs/>
                <w:sz w:val="24"/>
                <w:szCs w:val="24"/>
                <w:lang w:val="en-US"/>
              </w:rPr>
            </w:pPr>
          </w:p>
        </w:tc>
        <w:tc>
          <w:tcPr>
            <w:tcW w:w="3435" w:type="dxa"/>
            <w:vMerge/>
          </w:tcPr>
          <w:p w14:paraId="546C54D2" w14:textId="77777777" w:rsidR="00CA2CC3" w:rsidRPr="00AF391B" w:rsidRDefault="00CA2CC3" w:rsidP="00AB0FEE">
            <w:pPr>
              <w:jc w:val="both"/>
              <w:rPr>
                <w:rFonts w:cstheme="minorHAnsi"/>
                <w:bCs/>
                <w:sz w:val="24"/>
                <w:szCs w:val="24"/>
                <w:lang w:val="en-US"/>
              </w:rPr>
            </w:pPr>
          </w:p>
        </w:tc>
        <w:tc>
          <w:tcPr>
            <w:tcW w:w="8743" w:type="dxa"/>
          </w:tcPr>
          <w:p w14:paraId="5AFECD5C"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PM_EE27: Improve the bankability of energy efficiency projects</w:t>
            </w:r>
          </w:p>
        </w:tc>
      </w:tr>
      <w:tr w:rsidR="00CA2CC3" w:rsidRPr="00E966AE" w14:paraId="153CB960" w14:textId="77777777" w:rsidTr="00AB0FEE">
        <w:tc>
          <w:tcPr>
            <w:tcW w:w="1816" w:type="dxa"/>
            <w:vMerge/>
          </w:tcPr>
          <w:p w14:paraId="6D71A493" w14:textId="77777777" w:rsidR="00CA2CC3" w:rsidRPr="00AF391B" w:rsidRDefault="00CA2CC3" w:rsidP="00AB0FEE">
            <w:pPr>
              <w:jc w:val="both"/>
              <w:rPr>
                <w:rFonts w:cstheme="minorHAnsi"/>
                <w:bCs/>
                <w:sz w:val="24"/>
                <w:szCs w:val="24"/>
                <w:lang w:val="en-US"/>
              </w:rPr>
            </w:pPr>
          </w:p>
        </w:tc>
        <w:tc>
          <w:tcPr>
            <w:tcW w:w="3435" w:type="dxa"/>
            <w:vMerge/>
          </w:tcPr>
          <w:p w14:paraId="3BC38A86" w14:textId="77777777" w:rsidR="00CA2CC3" w:rsidRPr="00AF391B" w:rsidRDefault="00CA2CC3" w:rsidP="00AB0FEE">
            <w:pPr>
              <w:jc w:val="both"/>
              <w:rPr>
                <w:rFonts w:cstheme="minorHAnsi"/>
                <w:bCs/>
                <w:sz w:val="24"/>
                <w:szCs w:val="24"/>
                <w:lang w:val="en-US"/>
              </w:rPr>
            </w:pPr>
          </w:p>
        </w:tc>
        <w:tc>
          <w:tcPr>
            <w:tcW w:w="8743" w:type="dxa"/>
          </w:tcPr>
          <w:p w14:paraId="57A5F88A"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PM_EE9: Creation of financial mechanisms to support the environmental repair of apartment buildings and individual residential buildings, including with the integration of renewable energy sources</w:t>
            </w:r>
          </w:p>
        </w:tc>
      </w:tr>
      <w:tr w:rsidR="00CA2CC3" w:rsidRPr="00E966AE" w14:paraId="75CD4A12" w14:textId="77777777" w:rsidTr="00AB0FEE">
        <w:tc>
          <w:tcPr>
            <w:tcW w:w="1816" w:type="dxa"/>
            <w:vMerge/>
          </w:tcPr>
          <w:p w14:paraId="55A05949" w14:textId="77777777" w:rsidR="00CA2CC3" w:rsidRPr="00AF391B" w:rsidRDefault="00CA2CC3" w:rsidP="00AB0FEE">
            <w:pPr>
              <w:jc w:val="both"/>
              <w:rPr>
                <w:rFonts w:cstheme="minorHAnsi"/>
                <w:bCs/>
                <w:sz w:val="24"/>
                <w:szCs w:val="24"/>
                <w:lang w:val="en-US"/>
              </w:rPr>
            </w:pPr>
          </w:p>
        </w:tc>
        <w:tc>
          <w:tcPr>
            <w:tcW w:w="3435" w:type="dxa"/>
            <w:vMerge/>
          </w:tcPr>
          <w:p w14:paraId="038E3551" w14:textId="77777777" w:rsidR="00CA2CC3" w:rsidRPr="00AF391B" w:rsidRDefault="00CA2CC3" w:rsidP="00AB0FEE">
            <w:pPr>
              <w:jc w:val="both"/>
              <w:rPr>
                <w:rFonts w:cstheme="minorHAnsi"/>
                <w:bCs/>
                <w:sz w:val="24"/>
                <w:szCs w:val="24"/>
                <w:lang w:val="en-US"/>
              </w:rPr>
            </w:pPr>
          </w:p>
        </w:tc>
        <w:tc>
          <w:tcPr>
            <w:tcW w:w="8743" w:type="dxa"/>
          </w:tcPr>
          <w:p w14:paraId="01A01835"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PM_EE10: Implementation of smart metering systems and other advanced metering technologies to better respond to demand, remote metering and real-time consumption-based energy/gas billing</w:t>
            </w:r>
          </w:p>
        </w:tc>
      </w:tr>
      <w:tr w:rsidR="00CA2CC3" w:rsidRPr="00AF391B" w14:paraId="3C5CE28A" w14:textId="77777777" w:rsidTr="00AB0FEE">
        <w:tc>
          <w:tcPr>
            <w:tcW w:w="1816" w:type="dxa"/>
            <w:vMerge w:val="restart"/>
          </w:tcPr>
          <w:p w14:paraId="5F9F83CF"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Energy Security</w:t>
            </w:r>
          </w:p>
        </w:tc>
        <w:tc>
          <w:tcPr>
            <w:tcW w:w="3435" w:type="dxa"/>
            <w:vMerge w:val="restart"/>
          </w:tcPr>
          <w:p w14:paraId="0590778A"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Diversification of routes, reduce import dependency from a single route, and single source, increase flexibility of the national energy system</w:t>
            </w:r>
          </w:p>
        </w:tc>
        <w:tc>
          <w:tcPr>
            <w:tcW w:w="8743" w:type="dxa"/>
          </w:tcPr>
          <w:p w14:paraId="1246ACB9"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PM_ES1: Line 400 kV Vulcanesti-Chisinau</w:t>
            </w:r>
          </w:p>
        </w:tc>
      </w:tr>
      <w:tr w:rsidR="00CA2CC3" w:rsidRPr="00E966AE" w14:paraId="7FA7B24F" w14:textId="77777777" w:rsidTr="00AB0FEE">
        <w:tc>
          <w:tcPr>
            <w:tcW w:w="1816" w:type="dxa"/>
            <w:vMerge/>
          </w:tcPr>
          <w:p w14:paraId="526B9DDA" w14:textId="77777777" w:rsidR="00CA2CC3" w:rsidRPr="00AF391B" w:rsidRDefault="00CA2CC3" w:rsidP="00AB0FEE">
            <w:pPr>
              <w:jc w:val="both"/>
              <w:rPr>
                <w:rFonts w:cstheme="minorHAnsi"/>
                <w:bCs/>
                <w:sz w:val="24"/>
                <w:szCs w:val="24"/>
                <w:lang w:val="en-US"/>
              </w:rPr>
            </w:pPr>
          </w:p>
        </w:tc>
        <w:tc>
          <w:tcPr>
            <w:tcW w:w="3435" w:type="dxa"/>
            <w:vMerge/>
          </w:tcPr>
          <w:p w14:paraId="0593863F" w14:textId="77777777" w:rsidR="00CA2CC3" w:rsidRPr="00AF391B" w:rsidRDefault="00CA2CC3" w:rsidP="00AB0FEE">
            <w:pPr>
              <w:jc w:val="both"/>
              <w:rPr>
                <w:rFonts w:cstheme="minorHAnsi"/>
                <w:bCs/>
                <w:sz w:val="24"/>
                <w:szCs w:val="24"/>
                <w:lang w:val="en-US"/>
              </w:rPr>
            </w:pPr>
          </w:p>
        </w:tc>
        <w:tc>
          <w:tcPr>
            <w:tcW w:w="8743" w:type="dxa"/>
          </w:tcPr>
          <w:p w14:paraId="0791CE65"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PM_ES2: Line 400 kV Balti-Suceava</w:t>
            </w:r>
          </w:p>
        </w:tc>
      </w:tr>
      <w:tr w:rsidR="00CA2CC3" w:rsidRPr="00E966AE" w14:paraId="10E22737" w14:textId="77777777" w:rsidTr="00AB0FEE">
        <w:tc>
          <w:tcPr>
            <w:tcW w:w="1816" w:type="dxa"/>
            <w:vMerge/>
          </w:tcPr>
          <w:p w14:paraId="5F7074B0" w14:textId="77777777" w:rsidR="00CA2CC3" w:rsidRPr="00AF391B" w:rsidRDefault="00CA2CC3" w:rsidP="00AB0FEE">
            <w:pPr>
              <w:jc w:val="both"/>
              <w:rPr>
                <w:rFonts w:cstheme="minorHAnsi"/>
                <w:bCs/>
                <w:sz w:val="24"/>
                <w:szCs w:val="24"/>
                <w:lang w:val="en-US"/>
              </w:rPr>
            </w:pPr>
          </w:p>
        </w:tc>
        <w:tc>
          <w:tcPr>
            <w:tcW w:w="3435" w:type="dxa"/>
            <w:vMerge/>
          </w:tcPr>
          <w:p w14:paraId="783964AB" w14:textId="77777777" w:rsidR="00CA2CC3" w:rsidRPr="00AF391B" w:rsidRDefault="00CA2CC3" w:rsidP="00AB0FEE">
            <w:pPr>
              <w:jc w:val="both"/>
              <w:rPr>
                <w:rFonts w:cstheme="minorHAnsi"/>
                <w:bCs/>
                <w:sz w:val="24"/>
                <w:szCs w:val="24"/>
                <w:lang w:val="en-US"/>
              </w:rPr>
            </w:pPr>
          </w:p>
        </w:tc>
        <w:tc>
          <w:tcPr>
            <w:tcW w:w="8743" w:type="dxa"/>
          </w:tcPr>
          <w:p w14:paraId="4CD7E111"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PM_ES3: A feasibility study for interconnector capacity extension</w:t>
            </w:r>
          </w:p>
        </w:tc>
      </w:tr>
      <w:tr w:rsidR="00CA2CC3" w:rsidRPr="00AF391B" w14:paraId="1AB89DA1" w14:textId="77777777" w:rsidTr="00AB0FEE">
        <w:tc>
          <w:tcPr>
            <w:tcW w:w="1816" w:type="dxa"/>
            <w:vMerge/>
          </w:tcPr>
          <w:p w14:paraId="4F071AE2" w14:textId="77777777" w:rsidR="00CA2CC3" w:rsidRPr="00AF391B" w:rsidRDefault="00CA2CC3" w:rsidP="00AB0FEE">
            <w:pPr>
              <w:jc w:val="both"/>
              <w:rPr>
                <w:rFonts w:cstheme="minorHAnsi"/>
                <w:bCs/>
                <w:sz w:val="24"/>
                <w:szCs w:val="24"/>
                <w:lang w:val="en-US"/>
              </w:rPr>
            </w:pPr>
          </w:p>
        </w:tc>
        <w:tc>
          <w:tcPr>
            <w:tcW w:w="3435" w:type="dxa"/>
            <w:vMerge/>
          </w:tcPr>
          <w:p w14:paraId="5E9F28E4" w14:textId="77777777" w:rsidR="00CA2CC3" w:rsidRPr="00AF391B" w:rsidRDefault="00CA2CC3" w:rsidP="00AB0FEE">
            <w:pPr>
              <w:jc w:val="both"/>
              <w:rPr>
                <w:rFonts w:cstheme="minorHAnsi"/>
                <w:bCs/>
                <w:sz w:val="24"/>
                <w:szCs w:val="24"/>
                <w:lang w:val="en-US"/>
              </w:rPr>
            </w:pPr>
          </w:p>
        </w:tc>
        <w:tc>
          <w:tcPr>
            <w:tcW w:w="8743" w:type="dxa"/>
          </w:tcPr>
          <w:p w14:paraId="1AF09609"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PM_ES4: Main gas pipeline Ungheni-Chisinau</w:t>
            </w:r>
          </w:p>
        </w:tc>
      </w:tr>
      <w:tr w:rsidR="00CA2CC3" w:rsidRPr="00E966AE" w14:paraId="56846E9E" w14:textId="77777777" w:rsidTr="00AB0FEE">
        <w:tc>
          <w:tcPr>
            <w:tcW w:w="1816" w:type="dxa"/>
            <w:vMerge/>
          </w:tcPr>
          <w:p w14:paraId="3783F278" w14:textId="77777777" w:rsidR="00CA2CC3" w:rsidRPr="00AF391B" w:rsidRDefault="00CA2CC3" w:rsidP="00AB0FEE">
            <w:pPr>
              <w:jc w:val="both"/>
              <w:rPr>
                <w:rFonts w:cstheme="minorHAnsi"/>
                <w:bCs/>
                <w:sz w:val="24"/>
                <w:szCs w:val="24"/>
                <w:lang w:val="en-US"/>
              </w:rPr>
            </w:pPr>
          </w:p>
        </w:tc>
        <w:tc>
          <w:tcPr>
            <w:tcW w:w="3435" w:type="dxa"/>
            <w:vMerge/>
          </w:tcPr>
          <w:p w14:paraId="5BF9BC49" w14:textId="77777777" w:rsidR="00CA2CC3" w:rsidRPr="00AF391B" w:rsidRDefault="00CA2CC3" w:rsidP="00AB0FEE">
            <w:pPr>
              <w:jc w:val="both"/>
              <w:rPr>
                <w:rFonts w:cstheme="minorHAnsi"/>
                <w:bCs/>
                <w:sz w:val="24"/>
                <w:szCs w:val="24"/>
                <w:lang w:val="en-US"/>
              </w:rPr>
            </w:pPr>
          </w:p>
        </w:tc>
        <w:tc>
          <w:tcPr>
            <w:tcW w:w="8743" w:type="dxa"/>
          </w:tcPr>
          <w:p w14:paraId="16B91C6E"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PM_ES5: Development of the natural gas transmission network and the possibility of two-way connection; diversification of routes and sources of natural gas supplies</w:t>
            </w:r>
          </w:p>
        </w:tc>
      </w:tr>
      <w:tr w:rsidR="00CA2CC3" w:rsidRPr="00E966AE" w14:paraId="4A046399" w14:textId="77777777" w:rsidTr="00AB0FEE">
        <w:tc>
          <w:tcPr>
            <w:tcW w:w="1816" w:type="dxa"/>
            <w:vMerge/>
          </w:tcPr>
          <w:p w14:paraId="31948841" w14:textId="77777777" w:rsidR="00CA2CC3" w:rsidRPr="00AF391B" w:rsidRDefault="00CA2CC3" w:rsidP="00AB0FEE">
            <w:pPr>
              <w:jc w:val="both"/>
              <w:rPr>
                <w:rFonts w:cstheme="minorHAnsi"/>
                <w:bCs/>
                <w:sz w:val="24"/>
                <w:szCs w:val="24"/>
                <w:lang w:val="en-US"/>
              </w:rPr>
            </w:pPr>
          </w:p>
        </w:tc>
        <w:tc>
          <w:tcPr>
            <w:tcW w:w="3435" w:type="dxa"/>
            <w:vMerge/>
          </w:tcPr>
          <w:p w14:paraId="2A3BEBD3" w14:textId="77777777" w:rsidR="00CA2CC3" w:rsidRPr="00AF391B" w:rsidRDefault="00CA2CC3" w:rsidP="00AB0FEE">
            <w:pPr>
              <w:jc w:val="both"/>
              <w:rPr>
                <w:rFonts w:cstheme="minorHAnsi"/>
                <w:bCs/>
                <w:sz w:val="24"/>
                <w:szCs w:val="24"/>
                <w:lang w:val="en-US"/>
              </w:rPr>
            </w:pPr>
          </w:p>
        </w:tc>
        <w:tc>
          <w:tcPr>
            <w:tcW w:w="8743" w:type="dxa"/>
          </w:tcPr>
          <w:p w14:paraId="57D2B8B2"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PM_ES6: Elimination of internal restrictions in the natural gas transportation system</w:t>
            </w:r>
          </w:p>
        </w:tc>
      </w:tr>
      <w:tr w:rsidR="00CA2CC3" w:rsidRPr="00E966AE" w14:paraId="3B44921B" w14:textId="77777777" w:rsidTr="00AB0FEE">
        <w:tc>
          <w:tcPr>
            <w:tcW w:w="1816" w:type="dxa"/>
            <w:vMerge/>
          </w:tcPr>
          <w:p w14:paraId="256DC3BE" w14:textId="77777777" w:rsidR="00CA2CC3" w:rsidRPr="00AF391B" w:rsidRDefault="00CA2CC3" w:rsidP="00AB0FEE">
            <w:pPr>
              <w:jc w:val="both"/>
              <w:rPr>
                <w:rFonts w:cstheme="minorHAnsi"/>
                <w:bCs/>
                <w:sz w:val="24"/>
                <w:szCs w:val="24"/>
                <w:lang w:val="en-US"/>
              </w:rPr>
            </w:pPr>
          </w:p>
        </w:tc>
        <w:tc>
          <w:tcPr>
            <w:tcW w:w="3435" w:type="dxa"/>
          </w:tcPr>
          <w:p w14:paraId="7EFB1DB8"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Ensure energy security</w:t>
            </w:r>
          </w:p>
        </w:tc>
        <w:tc>
          <w:tcPr>
            <w:tcW w:w="8743" w:type="dxa"/>
          </w:tcPr>
          <w:p w14:paraId="02B029E9"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PM_ES7: Improving the process of risk assessment and emergency preparedness</w:t>
            </w:r>
          </w:p>
        </w:tc>
      </w:tr>
      <w:tr w:rsidR="00CA2CC3" w:rsidRPr="00E966AE" w14:paraId="5B7E123D" w14:textId="77777777" w:rsidTr="00AB0FEE">
        <w:tc>
          <w:tcPr>
            <w:tcW w:w="1816" w:type="dxa"/>
            <w:vMerge/>
          </w:tcPr>
          <w:p w14:paraId="50A5F412" w14:textId="77777777" w:rsidR="00CA2CC3" w:rsidRPr="00AF391B" w:rsidRDefault="00CA2CC3" w:rsidP="00AB0FEE">
            <w:pPr>
              <w:jc w:val="both"/>
              <w:rPr>
                <w:rFonts w:cstheme="minorHAnsi"/>
                <w:bCs/>
                <w:sz w:val="24"/>
                <w:szCs w:val="24"/>
                <w:lang w:val="en-US"/>
              </w:rPr>
            </w:pPr>
          </w:p>
        </w:tc>
        <w:tc>
          <w:tcPr>
            <w:tcW w:w="3435" w:type="dxa"/>
            <w:vMerge w:val="restart"/>
          </w:tcPr>
          <w:p w14:paraId="0991345A"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Ability to cope with constrained or interrupted supply of an energy source, increase the flexibility of the national energy system</w:t>
            </w:r>
          </w:p>
        </w:tc>
        <w:tc>
          <w:tcPr>
            <w:tcW w:w="8743" w:type="dxa"/>
          </w:tcPr>
          <w:p w14:paraId="2292240F"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PM_ES8: Creation of minimum reserves of natural gas</w:t>
            </w:r>
          </w:p>
        </w:tc>
      </w:tr>
      <w:tr w:rsidR="00CA2CC3" w:rsidRPr="00E966AE" w14:paraId="7C0059E7" w14:textId="77777777" w:rsidTr="00AB0FEE">
        <w:tc>
          <w:tcPr>
            <w:tcW w:w="1816" w:type="dxa"/>
            <w:vMerge/>
          </w:tcPr>
          <w:p w14:paraId="0E8E903F" w14:textId="77777777" w:rsidR="00CA2CC3" w:rsidRPr="00AF391B" w:rsidRDefault="00CA2CC3" w:rsidP="00AB0FEE">
            <w:pPr>
              <w:jc w:val="both"/>
              <w:rPr>
                <w:rFonts w:cstheme="minorHAnsi"/>
                <w:bCs/>
                <w:sz w:val="24"/>
                <w:szCs w:val="24"/>
                <w:lang w:val="en-US"/>
              </w:rPr>
            </w:pPr>
          </w:p>
        </w:tc>
        <w:tc>
          <w:tcPr>
            <w:tcW w:w="3435" w:type="dxa"/>
            <w:vMerge/>
          </w:tcPr>
          <w:p w14:paraId="0E406B73" w14:textId="77777777" w:rsidR="00CA2CC3" w:rsidRPr="00AF391B" w:rsidRDefault="00CA2CC3" w:rsidP="00AB0FEE">
            <w:pPr>
              <w:jc w:val="both"/>
              <w:rPr>
                <w:rFonts w:cstheme="minorHAnsi"/>
                <w:bCs/>
                <w:sz w:val="24"/>
                <w:szCs w:val="24"/>
                <w:lang w:val="en-US"/>
              </w:rPr>
            </w:pPr>
          </w:p>
        </w:tc>
        <w:tc>
          <w:tcPr>
            <w:tcW w:w="8743" w:type="dxa"/>
          </w:tcPr>
          <w:p w14:paraId="5866D4D8"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PM_ES9: Creation of minimum oil products reserves</w:t>
            </w:r>
          </w:p>
        </w:tc>
      </w:tr>
      <w:tr w:rsidR="00CA2CC3" w:rsidRPr="00AF391B" w14:paraId="369C0CD7" w14:textId="77777777" w:rsidTr="00AB0FEE">
        <w:tc>
          <w:tcPr>
            <w:tcW w:w="1816" w:type="dxa"/>
            <w:vMerge/>
          </w:tcPr>
          <w:p w14:paraId="3485E14A" w14:textId="77777777" w:rsidR="00CA2CC3" w:rsidRPr="00AF391B" w:rsidRDefault="00CA2CC3" w:rsidP="00AB0FEE">
            <w:pPr>
              <w:jc w:val="both"/>
              <w:rPr>
                <w:rFonts w:cstheme="minorHAnsi"/>
                <w:bCs/>
                <w:sz w:val="24"/>
                <w:szCs w:val="24"/>
                <w:lang w:val="en-US"/>
              </w:rPr>
            </w:pPr>
          </w:p>
        </w:tc>
        <w:tc>
          <w:tcPr>
            <w:tcW w:w="3435" w:type="dxa"/>
          </w:tcPr>
          <w:p w14:paraId="0F209CCB"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Increasing domestic capacity for energy production and diversifying the energy mix</w:t>
            </w:r>
          </w:p>
        </w:tc>
        <w:tc>
          <w:tcPr>
            <w:tcW w:w="8743" w:type="dxa"/>
          </w:tcPr>
          <w:p w14:paraId="712BC11B"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PM_ES10: Energy mix diversification</w:t>
            </w:r>
          </w:p>
        </w:tc>
      </w:tr>
      <w:tr w:rsidR="00CA2CC3" w:rsidRPr="00E966AE" w14:paraId="3B41FC9C" w14:textId="77777777" w:rsidTr="00AB0FEE">
        <w:tc>
          <w:tcPr>
            <w:tcW w:w="1816" w:type="dxa"/>
            <w:vMerge w:val="restart"/>
          </w:tcPr>
          <w:p w14:paraId="1BA55A77"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lastRenderedPageBreak/>
              <w:t>Internal Energy Market</w:t>
            </w:r>
          </w:p>
        </w:tc>
        <w:tc>
          <w:tcPr>
            <w:tcW w:w="3435" w:type="dxa"/>
          </w:tcPr>
          <w:p w14:paraId="318C5036"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Maintaining security of energy supply, increasing competitiveness and ensuring that all consumers can buy energy at affordable prices</w:t>
            </w:r>
          </w:p>
        </w:tc>
        <w:tc>
          <w:tcPr>
            <w:tcW w:w="8743" w:type="dxa"/>
          </w:tcPr>
          <w:p w14:paraId="6EEDFE4F"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PM_IEM1: Transposition and implementation of Network Codes and EU guidelines for the electricity sector</w:t>
            </w:r>
          </w:p>
        </w:tc>
      </w:tr>
      <w:tr w:rsidR="00CA2CC3" w:rsidRPr="00E966AE" w14:paraId="2A89FFFE" w14:textId="77777777" w:rsidTr="00AB0FEE">
        <w:tc>
          <w:tcPr>
            <w:tcW w:w="1816" w:type="dxa"/>
            <w:vMerge/>
          </w:tcPr>
          <w:p w14:paraId="6D84B354" w14:textId="77777777" w:rsidR="00CA2CC3" w:rsidRPr="00AF391B" w:rsidRDefault="00CA2CC3" w:rsidP="00AB0FEE">
            <w:pPr>
              <w:jc w:val="both"/>
              <w:rPr>
                <w:rFonts w:cstheme="minorHAnsi"/>
                <w:bCs/>
                <w:sz w:val="24"/>
                <w:szCs w:val="24"/>
                <w:lang w:val="en-US"/>
              </w:rPr>
            </w:pPr>
          </w:p>
        </w:tc>
        <w:tc>
          <w:tcPr>
            <w:tcW w:w="3435" w:type="dxa"/>
          </w:tcPr>
          <w:p w14:paraId="16E0825F"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Implementation of the Synchronous Space Framework Agreement; Ensuring compliance with ENTSO-E requirements by TSO; Development of opportunities for participation in the European electricity market […]</w:t>
            </w:r>
          </w:p>
        </w:tc>
        <w:tc>
          <w:tcPr>
            <w:tcW w:w="8743" w:type="dxa"/>
          </w:tcPr>
          <w:p w14:paraId="3DF63CDF"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PM_IEM2: Obtaining ENTSO-E observer status SE “Moldelectrica” and then full member status</w:t>
            </w:r>
          </w:p>
        </w:tc>
      </w:tr>
      <w:tr w:rsidR="00CA2CC3" w:rsidRPr="00E966AE" w14:paraId="0CB67CA7" w14:textId="77777777" w:rsidTr="00AB0FEE">
        <w:tc>
          <w:tcPr>
            <w:tcW w:w="1816" w:type="dxa"/>
            <w:vMerge/>
          </w:tcPr>
          <w:p w14:paraId="0B2E89F8" w14:textId="77777777" w:rsidR="00CA2CC3" w:rsidRPr="00AF391B" w:rsidRDefault="00CA2CC3" w:rsidP="00AB0FEE">
            <w:pPr>
              <w:jc w:val="both"/>
              <w:rPr>
                <w:rFonts w:cstheme="minorHAnsi"/>
                <w:bCs/>
                <w:sz w:val="24"/>
                <w:szCs w:val="24"/>
                <w:lang w:val="en-US"/>
              </w:rPr>
            </w:pPr>
          </w:p>
        </w:tc>
        <w:tc>
          <w:tcPr>
            <w:tcW w:w="3435" w:type="dxa"/>
          </w:tcPr>
          <w:p w14:paraId="136FA8A4"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Increased system flexibility and quality of electricity supply, market integration and coupling, […], implementation of intra-day and day ahead electricity transactions.</w:t>
            </w:r>
          </w:p>
        </w:tc>
        <w:tc>
          <w:tcPr>
            <w:tcW w:w="8743" w:type="dxa"/>
          </w:tcPr>
          <w:p w14:paraId="3DA5623C"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PM_IEM3: Modernization of existing networks</w:t>
            </w:r>
          </w:p>
        </w:tc>
      </w:tr>
      <w:tr w:rsidR="00CA2CC3" w:rsidRPr="00E966AE" w14:paraId="053B5505" w14:textId="77777777" w:rsidTr="00AB0FEE">
        <w:tc>
          <w:tcPr>
            <w:tcW w:w="1816" w:type="dxa"/>
            <w:vMerge/>
          </w:tcPr>
          <w:p w14:paraId="4FD8D8E0" w14:textId="77777777" w:rsidR="00CA2CC3" w:rsidRPr="00AF391B" w:rsidRDefault="00CA2CC3" w:rsidP="00AB0FEE">
            <w:pPr>
              <w:jc w:val="both"/>
              <w:rPr>
                <w:rFonts w:cstheme="minorHAnsi"/>
                <w:bCs/>
                <w:sz w:val="24"/>
                <w:szCs w:val="24"/>
                <w:lang w:val="en-US"/>
              </w:rPr>
            </w:pPr>
          </w:p>
        </w:tc>
        <w:tc>
          <w:tcPr>
            <w:tcW w:w="3435" w:type="dxa"/>
          </w:tcPr>
          <w:p w14:paraId="4D04EAC8"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Diversification of natural gas supply routes and sources</w:t>
            </w:r>
          </w:p>
        </w:tc>
        <w:tc>
          <w:tcPr>
            <w:tcW w:w="8743" w:type="dxa"/>
          </w:tcPr>
          <w:p w14:paraId="50AFD997"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PM_IEM4: Development of the natural gas transport network and bidirectional interconnection capabilities</w:t>
            </w:r>
          </w:p>
        </w:tc>
      </w:tr>
      <w:tr w:rsidR="00CA2CC3" w:rsidRPr="00E966AE" w14:paraId="18ACB838" w14:textId="77777777" w:rsidTr="00AB0FEE">
        <w:tc>
          <w:tcPr>
            <w:tcW w:w="1816" w:type="dxa"/>
            <w:vMerge/>
          </w:tcPr>
          <w:p w14:paraId="50394827" w14:textId="77777777" w:rsidR="00CA2CC3" w:rsidRPr="00AF391B" w:rsidRDefault="00CA2CC3" w:rsidP="00AB0FEE">
            <w:pPr>
              <w:jc w:val="both"/>
              <w:rPr>
                <w:rFonts w:cstheme="minorHAnsi"/>
                <w:bCs/>
                <w:sz w:val="24"/>
                <w:szCs w:val="24"/>
                <w:lang w:val="en-US"/>
              </w:rPr>
            </w:pPr>
          </w:p>
        </w:tc>
        <w:tc>
          <w:tcPr>
            <w:tcW w:w="3435" w:type="dxa"/>
          </w:tcPr>
          <w:p w14:paraId="4091E7DE"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Transposition and implementation of the proposal of the European Commission on the Decision of the Council of Ministers to integrate Regulation (EU) 2022/1032 on gas storage into TCE legislation.</w:t>
            </w:r>
          </w:p>
        </w:tc>
        <w:tc>
          <w:tcPr>
            <w:tcW w:w="8743" w:type="dxa"/>
          </w:tcPr>
          <w:p w14:paraId="38791879"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PM_IEM5: Creation of minimum reserves of natural gas. Exploring the possibility of building gas storage facilities (underground or terrestrial) in the Republic of Moldova</w:t>
            </w:r>
          </w:p>
        </w:tc>
      </w:tr>
      <w:tr w:rsidR="00CA2CC3" w:rsidRPr="00E966AE" w14:paraId="483BCF04" w14:textId="77777777" w:rsidTr="00AB0FEE">
        <w:tc>
          <w:tcPr>
            <w:tcW w:w="1816" w:type="dxa"/>
            <w:vMerge/>
          </w:tcPr>
          <w:p w14:paraId="35240327" w14:textId="77777777" w:rsidR="00CA2CC3" w:rsidRPr="00AF391B" w:rsidRDefault="00CA2CC3" w:rsidP="00AB0FEE">
            <w:pPr>
              <w:jc w:val="both"/>
              <w:rPr>
                <w:rFonts w:cstheme="minorHAnsi"/>
                <w:bCs/>
                <w:sz w:val="24"/>
                <w:szCs w:val="24"/>
                <w:lang w:val="en-US"/>
              </w:rPr>
            </w:pPr>
          </w:p>
        </w:tc>
        <w:tc>
          <w:tcPr>
            <w:tcW w:w="3435" w:type="dxa"/>
          </w:tcPr>
          <w:p w14:paraId="4199BB98"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 xml:space="preserve">Increase transparency of energy markets, improve monitoring </w:t>
            </w:r>
            <w:r w:rsidRPr="00AF391B">
              <w:rPr>
                <w:rFonts w:cstheme="minorHAnsi"/>
                <w:bCs/>
                <w:sz w:val="24"/>
                <w:szCs w:val="24"/>
                <w:lang w:val="en-US"/>
              </w:rPr>
              <w:lastRenderedPageBreak/>
              <w:t>and data availability for market participants, increase system flexibility and quality of the supply of electricity and natural gas, develop market integration and coupling, increase the tradeable capacity of existing interconnectors, demand response, distributed generation, mechanisms for dispatching</w:t>
            </w:r>
          </w:p>
        </w:tc>
        <w:tc>
          <w:tcPr>
            <w:tcW w:w="8743" w:type="dxa"/>
          </w:tcPr>
          <w:p w14:paraId="41BE9A8C"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lastRenderedPageBreak/>
              <w:t>PM_IEM6: Increasing the transparency of energy markets</w:t>
            </w:r>
          </w:p>
        </w:tc>
      </w:tr>
      <w:tr w:rsidR="00CA2CC3" w:rsidRPr="00E966AE" w14:paraId="7DB0EDCA" w14:textId="77777777" w:rsidTr="00AB0FEE">
        <w:tc>
          <w:tcPr>
            <w:tcW w:w="1816" w:type="dxa"/>
            <w:vMerge/>
          </w:tcPr>
          <w:p w14:paraId="3981A458" w14:textId="77777777" w:rsidR="00CA2CC3" w:rsidRPr="00AF391B" w:rsidRDefault="00CA2CC3" w:rsidP="00AB0FEE">
            <w:pPr>
              <w:jc w:val="both"/>
              <w:rPr>
                <w:rFonts w:cstheme="minorHAnsi"/>
                <w:bCs/>
                <w:sz w:val="24"/>
                <w:szCs w:val="24"/>
                <w:lang w:val="en-US"/>
              </w:rPr>
            </w:pPr>
          </w:p>
        </w:tc>
        <w:tc>
          <w:tcPr>
            <w:tcW w:w="3435" w:type="dxa"/>
          </w:tcPr>
          <w:p w14:paraId="3D8AA048"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 xml:space="preserve">Appointment of a market operator to administer centralized markets </w:t>
            </w:r>
          </w:p>
        </w:tc>
        <w:tc>
          <w:tcPr>
            <w:tcW w:w="8743" w:type="dxa"/>
          </w:tcPr>
          <w:p w14:paraId="0A33BB9B"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PM_IEM7: Appointment of an electricity market operator</w:t>
            </w:r>
          </w:p>
        </w:tc>
      </w:tr>
      <w:tr w:rsidR="00CA2CC3" w:rsidRPr="00E966AE" w14:paraId="0B12D074" w14:textId="77777777" w:rsidTr="00AB0FEE">
        <w:tc>
          <w:tcPr>
            <w:tcW w:w="1816" w:type="dxa"/>
            <w:vMerge/>
          </w:tcPr>
          <w:p w14:paraId="079F5F57" w14:textId="77777777" w:rsidR="00CA2CC3" w:rsidRPr="00AF391B" w:rsidRDefault="00CA2CC3" w:rsidP="00AB0FEE">
            <w:pPr>
              <w:jc w:val="both"/>
              <w:rPr>
                <w:rFonts w:cstheme="minorHAnsi"/>
                <w:bCs/>
                <w:sz w:val="24"/>
                <w:szCs w:val="24"/>
                <w:lang w:val="en-US"/>
              </w:rPr>
            </w:pPr>
          </w:p>
        </w:tc>
        <w:tc>
          <w:tcPr>
            <w:tcW w:w="3435" w:type="dxa"/>
          </w:tcPr>
          <w:p w14:paraId="081930F3"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Integrate the market with neighboring markets, increase competition in the wholesale market, develop motivation and opportunities for market participants in electricity transactions; increase system flexibility and quality of electricity supply, market integration and coupling, increase the tradeable capacity of existing interconnectors, demand response, distributed generation, mechanisms for dispatching.</w:t>
            </w:r>
          </w:p>
        </w:tc>
        <w:tc>
          <w:tcPr>
            <w:tcW w:w="8743" w:type="dxa"/>
          </w:tcPr>
          <w:p w14:paraId="4977916D"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PM_IEM8: Launch of day-ahead and intraday markets</w:t>
            </w:r>
          </w:p>
        </w:tc>
      </w:tr>
      <w:tr w:rsidR="00CA2CC3" w:rsidRPr="00E966AE" w14:paraId="62E79AF7" w14:textId="77777777" w:rsidTr="00AB0FEE">
        <w:tc>
          <w:tcPr>
            <w:tcW w:w="1816" w:type="dxa"/>
            <w:vMerge/>
          </w:tcPr>
          <w:p w14:paraId="6BD39B0D" w14:textId="77777777" w:rsidR="00CA2CC3" w:rsidRPr="00AF391B" w:rsidRDefault="00CA2CC3" w:rsidP="00AB0FEE">
            <w:pPr>
              <w:jc w:val="both"/>
              <w:rPr>
                <w:rFonts w:cstheme="minorHAnsi"/>
                <w:bCs/>
                <w:sz w:val="24"/>
                <w:szCs w:val="24"/>
                <w:lang w:val="en-US"/>
              </w:rPr>
            </w:pPr>
          </w:p>
        </w:tc>
        <w:tc>
          <w:tcPr>
            <w:tcW w:w="3435" w:type="dxa"/>
          </w:tcPr>
          <w:p w14:paraId="2FF0224E"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Increase transparency of energy markets, improve monitoring and data availability for market participants, develop market integration and coupling, increase the tradeable capacity of existing interconnectors, demand response, distributed generation, mechanisms for dispatching, increase system flexibility and quality of electricity supply.</w:t>
            </w:r>
          </w:p>
        </w:tc>
        <w:tc>
          <w:tcPr>
            <w:tcW w:w="8743" w:type="dxa"/>
          </w:tcPr>
          <w:p w14:paraId="2A60E96C"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PM_IEM9: Continued market opening and gradual liberalization of electricity and natural gas markets</w:t>
            </w:r>
          </w:p>
        </w:tc>
      </w:tr>
      <w:tr w:rsidR="00CA2CC3" w:rsidRPr="00E966AE" w14:paraId="102C8A32" w14:textId="77777777" w:rsidTr="00AB0FEE">
        <w:tc>
          <w:tcPr>
            <w:tcW w:w="1816" w:type="dxa"/>
            <w:vMerge/>
          </w:tcPr>
          <w:p w14:paraId="6A30E18D" w14:textId="77777777" w:rsidR="00CA2CC3" w:rsidRPr="00AF391B" w:rsidRDefault="00CA2CC3" w:rsidP="00AB0FEE">
            <w:pPr>
              <w:jc w:val="both"/>
              <w:rPr>
                <w:rFonts w:cstheme="minorHAnsi"/>
                <w:bCs/>
                <w:sz w:val="24"/>
                <w:szCs w:val="24"/>
                <w:lang w:val="en-US"/>
              </w:rPr>
            </w:pPr>
          </w:p>
        </w:tc>
        <w:tc>
          <w:tcPr>
            <w:tcW w:w="3435" w:type="dxa"/>
          </w:tcPr>
          <w:p w14:paraId="7049C6AC"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Develop motivation and opportunities for market participants in electricity transactions; increase system flexibility and quality of electricity supply, market integration and the coupling, increase the tradeable capacity of existing interconnectors, demand response, distributed generation.</w:t>
            </w:r>
          </w:p>
        </w:tc>
        <w:tc>
          <w:tcPr>
            <w:tcW w:w="8743" w:type="dxa"/>
          </w:tcPr>
          <w:p w14:paraId="59579644"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PM_IEM10: Facilitating the process of changing the supplier</w:t>
            </w:r>
          </w:p>
        </w:tc>
      </w:tr>
      <w:tr w:rsidR="00CA2CC3" w:rsidRPr="00E966AE" w14:paraId="30523773" w14:textId="77777777" w:rsidTr="00AB0FEE">
        <w:tc>
          <w:tcPr>
            <w:tcW w:w="1816" w:type="dxa"/>
            <w:vMerge/>
          </w:tcPr>
          <w:p w14:paraId="17BE4B53" w14:textId="77777777" w:rsidR="00CA2CC3" w:rsidRPr="00AF391B" w:rsidRDefault="00CA2CC3" w:rsidP="00AB0FEE">
            <w:pPr>
              <w:jc w:val="both"/>
              <w:rPr>
                <w:rFonts w:cstheme="minorHAnsi"/>
                <w:bCs/>
                <w:sz w:val="24"/>
                <w:szCs w:val="24"/>
                <w:lang w:val="en-US"/>
              </w:rPr>
            </w:pPr>
          </w:p>
        </w:tc>
        <w:tc>
          <w:tcPr>
            <w:tcW w:w="3435" w:type="dxa"/>
          </w:tcPr>
          <w:p w14:paraId="7A5C7A9A"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Develop a common methodology with neighboring states for determining the grouped capacity at the gas interconnection points. Use of a platform for capacity reservation and trading of natural gas.</w:t>
            </w:r>
          </w:p>
        </w:tc>
        <w:tc>
          <w:tcPr>
            <w:tcW w:w="8743" w:type="dxa"/>
          </w:tcPr>
          <w:p w14:paraId="48D862C7"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PM_IEM11: Creation of natural gas trading platforms and a capacity allocation process at interconnection points. Establishment of a compensation mechanism between TSO’s. Introduction of balancing responsibility of users of natural gas</w:t>
            </w:r>
          </w:p>
        </w:tc>
      </w:tr>
      <w:tr w:rsidR="00CA2CC3" w:rsidRPr="00E966AE" w14:paraId="1FD25A23" w14:textId="77777777" w:rsidTr="00AB0FEE">
        <w:tc>
          <w:tcPr>
            <w:tcW w:w="1816" w:type="dxa"/>
            <w:vMerge/>
          </w:tcPr>
          <w:p w14:paraId="5D25F15F" w14:textId="77777777" w:rsidR="00CA2CC3" w:rsidRPr="00AF391B" w:rsidRDefault="00CA2CC3" w:rsidP="00AB0FEE">
            <w:pPr>
              <w:jc w:val="both"/>
              <w:rPr>
                <w:rFonts w:cstheme="minorHAnsi"/>
                <w:bCs/>
                <w:sz w:val="24"/>
                <w:szCs w:val="24"/>
                <w:lang w:val="en-US"/>
              </w:rPr>
            </w:pPr>
          </w:p>
        </w:tc>
        <w:tc>
          <w:tcPr>
            <w:tcW w:w="3435" w:type="dxa"/>
          </w:tcPr>
          <w:p w14:paraId="13A9A501"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Reducing the impact of energy crises and energy poverty</w:t>
            </w:r>
          </w:p>
        </w:tc>
        <w:tc>
          <w:tcPr>
            <w:tcW w:w="8743" w:type="dxa"/>
          </w:tcPr>
          <w:p w14:paraId="6E2BC285"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PM_IEM12: Identification of appropriate social aids, adapted to the needs of vulnerable consumers</w:t>
            </w:r>
          </w:p>
        </w:tc>
      </w:tr>
      <w:tr w:rsidR="00CA2CC3" w:rsidRPr="00E966AE" w14:paraId="18F3EFA3" w14:textId="77777777" w:rsidTr="00AB0FEE">
        <w:tc>
          <w:tcPr>
            <w:tcW w:w="1816" w:type="dxa"/>
            <w:vMerge w:val="restart"/>
          </w:tcPr>
          <w:p w14:paraId="63D8A0E4"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Research, Innovation and Competitiveness</w:t>
            </w:r>
          </w:p>
        </w:tc>
        <w:tc>
          <w:tcPr>
            <w:tcW w:w="3435" w:type="dxa"/>
            <w:vMerge w:val="restart"/>
          </w:tcPr>
          <w:p w14:paraId="08A1432B"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Promotion of Research and Innovation</w:t>
            </w:r>
          </w:p>
        </w:tc>
        <w:tc>
          <w:tcPr>
            <w:tcW w:w="8743" w:type="dxa"/>
          </w:tcPr>
          <w:p w14:paraId="2D9A7129"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PM_RIC1: Competition of Innovation and Technology Transfer Projects including the field “Environment and Climate Change”</w:t>
            </w:r>
          </w:p>
        </w:tc>
      </w:tr>
      <w:tr w:rsidR="00CA2CC3" w:rsidRPr="00E966AE" w14:paraId="702F0BE2" w14:textId="77777777" w:rsidTr="00AB0FEE">
        <w:tc>
          <w:tcPr>
            <w:tcW w:w="1816" w:type="dxa"/>
            <w:vMerge/>
          </w:tcPr>
          <w:p w14:paraId="613D0D77" w14:textId="77777777" w:rsidR="00CA2CC3" w:rsidRPr="00AF391B" w:rsidRDefault="00CA2CC3" w:rsidP="00AB0FEE">
            <w:pPr>
              <w:jc w:val="both"/>
              <w:rPr>
                <w:rFonts w:cstheme="minorHAnsi"/>
                <w:bCs/>
                <w:sz w:val="24"/>
                <w:szCs w:val="24"/>
                <w:lang w:val="en-US"/>
              </w:rPr>
            </w:pPr>
          </w:p>
        </w:tc>
        <w:tc>
          <w:tcPr>
            <w:tcW w:w="3435" w:type="dxa"/>
            <w:vMerge/>
          </w:tcPr>
          <w:p w14:paraId="7E3A727B" w14:textId="77777777" w:rsidR="00CA2CC3" w:rsidRPr="00AF391B" w:rsidRDefault="00CA2CC3" w:rsidP="00AB0FEE">
            <w:pPr>
              <w:jc w:val="both"/>
              <w:rPr>
                <w:rFonts w:cstheme="minorHAnsi"/>
                <w:bCs/>
                <w:sz w:val="24"/>
                <w:szCs w:val="24"/>
                <w:lang w:val="en-US"/>
              </w:rPr>
            </w:pPr>
          </w:p>
        </w:tc>
        <w:tc>
          <w:tcPr>
            <w:tcW w:w="8743" w:type="dxa"/>
          </w:tcPr>
          <w:p w14:paraId="2346DA3D"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PM_RIC2: Improvement R&amp;D and innovation management</w:t>
            </w:r>
          </w:p>
        </w:tc>
      </w:tr>
      <w:tr w:rsidR="00CA2CC3" w:rsidRPr="00E966AE" w14:paraId="3854FEFE" w14:textId="77777777" w:rsidTr="00AB0FEE">
        <w:tc>
          <w:tcPr>
            <w:tcW w:w="1816" w:type="dxa"/>
            <w:vMerge/>
          </w:tcPr>
          <w:p w14:paraId="57E7C001" w14:textId="77777777" w:rsidR="00CA2CC3" w:rsidRPr="00AF391B" w:rsidRDefault="00CA2CC3" w:rsidP="00AB0FEE">
            <w:pPr>
              <w:jc w:val="both"/>
              <w:rPr>
                <w:rFonts w:cstheme="minorHAnsi"/>
                <w:bCs/>
                <w:sz w:val="24"/>
                <w:szCs w:val="24"/>
                <w:lang w:val="en-US"/>
              </w:rPr>
            </w:pPr>
          </w:p>
        </w:tc>
        <w:tc>
          <w:tcPr>
            <w:tcW w:w="3435" w:type="dxa"/>
            <w:vMerge/>
          </w:tcPr>
          <w:p w14:paraId="70BDDD92" w14:textId="77777777" w:rsidR="00CA2CC3" w:rsidRPr="00AF391B" w:rsidRDefault="00CA2CC3" w:rsidP="00AB0FEE">
            <w:pPr>
              <w:jc w:val="both"/>
              <w:rPr>
                <w:rFonts w:cstheme="minorHAnsi"/>
                <w:bCs/>
                <w:sz w:val="24"/>
                <w:szCs w:val="24"/>
                <w:lang w:val="en-US"/>
              </w:rPr>
            </w:pPr>
          </w:p>
        </w:tc>
        <w:tc>
          <w:tcPr>
            <w:tcW w:w="8743" w:type="dxa"/>
          </w:tcPr>
          <w:p w14:paraId="3EEA29DE"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PM_RIC4: Establishment, involving and networking of intermediate bodies associated with the flow of information, management, technology and funding for technologies transfer</w:t>
            </w:r>
          </w:p>
        </w:tc>
      </w:tr>
      <w:tr w:rsidR="00CA2CC3" w:rsidRPr="00E966AE" w14:paraId="2A90F89C" w14:textId="77777777" w:rsidTr="00AB0FEE">
        <w:tc>
          <w:tcPr>
            <w:tcW w:w="1816" w:type="dxa"/>
            <w:vMerge/>
          </w:tcPr>
          <w:p w14:paraId="2FC72BD8" w14:textId="77777777" w:rsidR="00CA2CC3" w:rsidRPr="00AF391B" w:rsidRDefault="00CA2CC3" w:rsidP="00AB0FEE">
            <w:pPr>
              <w:jc w:val="both"/>
              <w:rPr>
                <w:rFonts w:cstheme="minorHAnsi"/>
                <w:bCs/>
                <w:sz w:val="24"/>
                <w:szCs w:val="24"/>
                <w:lang w:val="en-US"/>
              </w:rPr>
            </w:pPr>
          </w:p>
        </w:tc>
        <w:tc>
          <w:tcPr>
            <w:tcW w:w="3435" w:type="dxa"/>
            <w:vMerge/>
          </w:tcPr>
          <w:p w14:paraId="06E9C195" w14:textId="77777777" w:rsidR="00CA2CC3" w:rsidRPr="00AF391B" w:rsidRDefault="00CA2CC3" w:rsidP="00AB0FEE">
            <w:pPr>
              <w:jc w:val="both"/>
              <w:rPr>
                <w:rFonts w:cstheme="minorHAnsi"/>
                <w:bCs/>
                <w:sz w:val="24"/>
                <w:szCs w:val="24"/>
                <w:lang w:val="en-US"/>
              </w:rPr>
            </w:pPr>
          </w:p>
        </w:tc>
        <w:tc>
          <w:tcPr>
            <w:tcW w:w="8743" w:type="dxa"/>
          </w:tcPr>
          <w:p w14:paraId="50B428E0"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PM_RIC5: Promotion of Smart Specialization</w:t>
            </w:r>
          </w:p>
        </w:tc>
      </w:tr>
      <w:tr w:rsidR="00CA2CC3" w:rsidRPr="00E966AE" w14:paraId="3A22922B" w14:textId="77777777" w:rsidTr="00AB0FEE">
        <w:tc>
          <w:tcPr>
            <w:tcW w:w="1816" w:type="dxa"/>
            <w:vMerge/>
          </w:tcPr>
          <w:p w14:paraId="169E4D58" w14:textId="77777777" w:rsidR="00CA2CC3" w:rsidRPr="00AF391B" w:rsidRDefault="00CA2CC3" w:rsidP="00AB0FEE">
            <w:pPr>
              <w:jc w:val="both"/>
              <w:rPr>
                <w:rFonts w:cstheme="minorHAnsi"/>
                <w:bCs/>
                <w:sz w:val="24"/>
                <w:szCs w:val="24"/>
                <w:lang w:val="en-US"/>
              </w:rPr>
            </w:pPr>
          </w:p>
        </w:tc>
        <w:tc>
          <w:tcPr>
            <w:tcW w:w="3435" w:type="dxa"/>
            <w:vMerge/>
          </w:tcPr>
          <w:p w14:paraId="5209E62F" w14:textId="77777777" w:rsidR="00CA2CC3" w:rsidRPr="00AF391B" w:rsidRDefault="00CA2CC3" w:rsidP="00AB0FEE">
            <w:pPr>
              <w:jc w:val="both"/>
              <w:rPr>
                <w:rFonts w:cstheme="minorHAnsi"/>
                <w:bCs/>
                <w:sz w:val="24"/>
                <w:szCs w:val="24"/>
                <w:lang w:val="en-US"/>
              </w:rPr>
            </w:pPr>
          </w:p>
        </w:tc>
        <w:tc>
          <w:tcPr>
            <w:tcW w:w="8743" w:type="dxa"/>
          </w:tcPr>
          <w:p w14:paraId="60D08246"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PM_RIC6: Support the cooperation between other Member States in the technology transfer and exploitation of research results</w:t>
            </w:r>
          </w:p>
        </w:tc>
      </w:tr>
      <w:tr w:rsidR="00CA2CC3" w:rsidRPr="00E966AE" w14:paraId="11A9C376" w14:textId="77777777" w:rsidTr="00AB0FEE">
        <w:tc>
          <w:tcPr>
            <w:tcW w:w="1816" w:type="dxa"/>
            <w:vMerge/>
          </w:tcPr>
          <w:p w14:paraId="5B4E542F" w14:textId="77777777" w:rsidR="00CA2CC3" w:rsidRPr="00AF391B" w:rsidRDefault="00CA2CC3" w:rsidP="00AB0FEE">
            <w:pPr>
              <w:jc w:val="both"/>
              <w:rPr>
                <w:rFonts w:cstheme="minorHAnsi"/>
                <w:bCs/>
                <w:sz w:val="24"/>
                <w:szCs w:val="24"/>
                <w:lang w:val="en-US"/>
              </w:rPr>
            </w:pPr>
          </w:p>
        </w:tc>
        <w:tc>
          <w:tcPr>
            <w:tcW w:w="3435" w:type="dxa"/>
          </w:tcPr>
          <w:p w14:paraId="670083BC" w14:textId="77777777" w:rsidR="00CA2CC3" w:rsidRPr="00AF391B" w:rsidRDefault="00CA2CC3" w:rsidP="00AB0FEE">
            <w:pPr>
              <w:jc w:val="both"/>
              <w:rPr>
                <w:rFonts w:cstheme="minorHAnsi"/>
                <w:bCs/>
                <w:sz w:val="24"/>
                <w:szCs w:val="24"/>
                <w:lang w:val="en-US"/>
              </w:rPr>
            </w:pPr>
            <w:r w:rsidRPr="00AF391B">
              <w:rPr>
                <w:rFonts w:cstheme="minorHAnsi"/>
                <w:bCs/>
                <w:sz w:val="24"/>
                <w:szCs w:val="24"/>
                <w:lang w:val="en-US"/>
              </w:rPr>
              <w:t>Implementation of the he Law no. 226 of 11/01/2018</w:t>
            </w:r>
          </w:p>
        </w:tc>
        <w:tc>
          <w:tcPr>
            <w:tcW w:w="8743" w:type="dxa"/>
          </w:tcPr>
          <w:p w14:paraId="19CABC62" w14:textId="77777777" w:rsidR="00CA2CC3" w:rsidRPr="00AF391B" w:rsidRDefault="00CA2CC3" w:rsidP="00AB0FEE">
            <w:pPr>
              <w:rPr>
                <w:rFonts w:cstheme="minorHAnsi"/>
                <w:bCs/>
                <w:sz w:val="24"/>
                <w:szCs w:val="24"/>
                <w:lang w:val="en-US"/>
              </w:rPr>
            </w:pPr>
            <w:r w:rsidRPr="00AF391B">
              <w:rPr>
                <w:rFonts w:cstheme="minorHAnsi"/>
                <w:bCs/>
                <w:sz w:val="24"/>
                <w:szCs w:val="24"/>
                <w:lang w:val="en-US"/>
              </w:rPr>
              <w:t>PM_RIC3: Promotion creation and operation of science and technology parks and innovation incubators</w:t>
            </w:r>
          </w:p>
        </w:tc>
      </w:tr>
    </w:tbl>
    <w:p w14:paraId="38BC40C3" w14:textId="77777777" w:rsidR="00CA2CC3" w:rsidRPr="00AF391B" w:rsidRDefault="00CA2CC3" w:rsidP="00CA2CC3">
      <w:pPr>
        <w:jc w:val="both"/>
        <w:rPr>
          <w:rFonts w:cstheme="minorHAnsi"/>
          <w:bCs/>
          <w:sz w:val="24"/>
          <w:szCs w:val="24"/>
          <w:lang w:val="en-US"/>
        </w:rPr>
      </w:pPr>
    </w:p>
    <w:p w14:paraId="290D49D7" w14:textId="77777777" w:rsidR="00CA2CC3" w:rsidRPr="00AF391B" w:rsidRDefault="00CA2CC3" w:rsidP="00CA2CC3">
      <w:pPr>
        <w:rPr>
          <w:rFonts w:cstheme="minorHAnsi"/>
          <w:sz w:val="24"/>
          <w:szCs w:val="24"/>
          <w:lang w:val="en-US"/>
        </w:rPr>
        <w:sectPr w:rsidR="00CA2CC3" w:rsidRPr="00AF391B" w:rsidSect="00C30B22">
          <w:pgSz w:w="16838" w:h="11906" w:orient="landscape"/>
          <w:pgMar w:top="1417" w:right="1417" w:bottom="1417" w:left="1417" w:header="708" w:footer="708" w:gutter="0"/>
          <w:cols w:space="708"/>
          <w:docGrid w:linePitch="360"/>
        </w:sectPr>
      </w:pPr>
    </w:p>
    <w:p w14:paraId="7DD67E24" w14:textId="77777777" w:rsidR="00CA2CC3" w:rsidRPr="00AF391B" w:rsidRDefault="00AB0FEE" w:rsidP="00B6327C">
      <w:pPr>
        <w:pStyle w:val="ListParagraph"/>
        <w:numPr>
          <w:ilvl w:val="0"/>
          <w:numId w:val="11"/>
        </w:numPr>
        <w:jc w:val="both"/>
        <w:rPr>
          <w:rFonts w:cstheme="minorHAnsi"/>
          <w:b/>
          <w:sz w:val="24"/>
          <w:szCs w:val="24"/>
        </w:rPr>
      </w:pPr>
      <w:r w:rsidRPr="00AF391B">
        <w:rPr>
          <w:rFonts w:cstheme="minorHAnsi"/>
          <w:b/>
          <w:sz w:val="24"/>
          <w:szCs w:val="24"/>
        </w:rPr>
        <w:lastRenderedPageBreak/>
        <w:t>Current Situation and Projections with Existing Policies and Measures</w:t>
      </w:r>
    </w:p>
    <w:p w14:paraId="5444D125" w14:textId="77777777" w:rsidR="00E239C2" w:rsidRPr="00AF391B" w:rsidRDefault="00E239C2" w:rsidP="00E239C2">
      <w:pPr>
        <w:spacing w:after="120"/>
        <w:jc w:val="both"/>
        <w:rPr>
          <w:rFonts w:cstheme="minorHAnsi"/>
          <w:sz w:val="24"/>
          <w:szCs w:val="24"/>
          <w:lang w:val="en-US"/>
        </w:rPr>
      </w:pPr>
    </w:p>
    <w:p w14:paraId="6F186B14" w14:textId="77777777" w:rsidR="00AB0FEE" w:rsidRPr="00AF391B" w:rsidRDefault="00E02794" w:rsidP="00E02794">
      <w:pPr>
        <w:jc w:val="both"/>
        <w:rPr>
          <w:rFonts w:cstheme="minorHAnsi"/>
          <w:b/>
          <w:bCs/>
          <w:i/>
          <w:iCs/>
          <w:sz w:val="24"/>
          <w:szCs w:val="24"/>
          <w:lang w:val="en-US"/>
        </w:rPr>
      </w:pPr>
      <w:r w:rsidRPr="00AF391B">
        <w:rPr>
          <w:rFonts w:cstheme="minorHAnsi"/>
          <w:b/>
          <w:bCs/>
          <w:i/>
          <w:iCs/>
          <w:sz w:val="24"/>
          <w:szCs w:val="24"/>
          <w:lang w:val="en-US"/>
        </w:rPr>
        <w:t>Dimension Decarbonization</w:t>
      </w:r>
    </w:p>
    <w:p w14:paraId="16D0DB06" w14:textId="77777777" w:rsidR="00E02794" w:rsidRPr="00AF391B" w:rsidRDefault="00E02794" w:rsidP="00E02794">
      <w:pPr>
        <w:jc w:val="both"/>
        <w:rPr>
          <w:rFonts w:cstheme="minorHAnsi"/>
          <w:sz w:val="24"/>
          <w:szCs w:val="24"/>
          <w:lang w:val="en-US"/>
        </w:rPr>
      </w:pPr>
      <w:r w:rsidRPr="00AF391B">
        <w:rPr>
          <w:rFonts w:cstheme="minorHAnsi"/>
          <w:sz w:val="24"/>
          <w:szCs w:val="24"/>
          <w:lang w:val="en-US"/>
        </w:rPr>
        <w:t>Projections of total GHG emissions for the period 2020 – 2050 are presented for the WEM and WPM scenarios in the Table 3 below:</w:t>
      </w:r>
    </w:p>
    <w:p w14:paraId="656F394A" w14:textId="77777777" w:rsidR="00ED29CF" w:rsidRPr="00AF391B" w:rsidRDefault="00ED29CF" w:rsidP="00ED29CF">
      <w:pPr>
        <w:pStyle w:val="Caption"/>
        <w:jc w:val="both"/>
        <w:rPr>
          <w:rFonts w:cstheme="minorHAnsi"/>
          <w:b/>
          <w:color w:val="auto"/>
          <w:sz w:val="24"/>
          <w:szCs w:val="24"/>
          <w:lang w:val="en-GB"/>
        </w:rPr>
      </w:pPr>
      <w:bookmarkStart w:id="6" w:name="_Toc153298673"/>
      <w:r w:rsidRPr="00AF391B">
        <w:rPr>
          <w:rFonts w:cstheme="minorHAnsi"/>
          <w:b/>
          <w:color w:val="auto"/>
          <w:sz w:val="24"/>
          <w:szCs w:val="24"/>
          <w:lang w:val="en-GB"/>
        </w:rPr>
        <w:t xml:space="preserve">Table </w:t>
      </w:r>
      <w:r w:rsidRPr="00AF391B">
        <w:rPr>
          <w:rFonts w:cstheme="minorHAnsi"/>
          <w:b/>
          <w:color w:val="auto"/>
          <w:sz w:val="24"/>
          <w:szCs w:val="24"/>
          <w:lang w:val="en-GB"/>
        </w:rPr>
        <w:fldChar w:fldCharType="begin"/>
      </w:r>
      <w:r w:rsidRPr="00AF391B">
        <w:rPr>
          <w:rFonts w:cstheme="minorHAnsi"/>
          <w:b/>
          <w:color w:val="auto"/>
          <w:sz w:val="24"/>
          <w:szCs w:val="24"/>
          <w:lang w:val="en-GB"/>
        </w:rPr>
        <w:instrText xml:space="preserve"> SEQ Table \* ARABIC </w:instrText>
      </w:r>
      <w:r w:rsidRPr="00AF391B">
        <w:rPr>
          <w:rFonts w:cstheme="minorHAnsi"/>
          <w:b/>
          <w:color w:val="auto"/>
          <w:sz w:val="24"/>
          <w:szCs w:val="24"/>
          <w:lang w:val="en-GB"/>
        </w:rPr>
        <w:fldChar w:fldCharType="separate"/>
      </w:r>
      <w:r w:rsidRPr="00AF391B">
        <w:rPr>
          <w:rFonts w:cstheme="minorHAnsi"/>
          <w:b/>
          <w:noProof/>
          <w:color w:val="auto"/>
          <w:sz w:val="24"/>
          <w:szCs w:val="24"/>
          <w:lang w:val="en-GB"/>
        </w:rPr>
        <w:t>3</w:t>
      </w:r>
      <w:r w:rsidRPr="00AF391B">
        <w:rPr>
          <w:rFonts w:cstheme="minorHAnsi"/>
          <w:b/>
          <w:color w:val="auto"/>
          <w:sz w:val="24"/>
          <w:szCs w:val="24"/>
          <w:lang w:val="en-GB"/>
        </w:rPr>
        <w:fldChar w:fldCharType="end"/>
      </w:r>
      <w:r w:rsidRPr="00AF391B">
        <w:rPr>
          <w:rFonts w:cstheme="minorHAnsi"/>
          <w:b/>
          <w:color w:val="auto"/>
          <w:sz w:val="24"/>
          <w:szCs w:val="24"/>
          <w:lang w:val="en-GB"/>
        </w:rPr>
        <w:t>. GHG emissions for the period 2020 – 2050 in both scenarios, in kt CO</w:t>
      </w:r>
      <w:r w:rsidRPr="00AF391B">
        <w:rPr>
          <w:rFonts w:cstheme="minorHAnsi"/>
          <w:b/>
          <w:color w:val="auto"/>
          <w:sz w:val="24"/>
          <w:szCs w:val="24"/>
          <w:vertAlign w:val="subscript"/>
          <w:lang w:val="en-GB"/>
        </w:rPr>
        <w:t>2</w:t>
      </w:r>
      <w:r w:rsidRPr="00AF391B">
        <w:rPr>
          <w:rFonts w:cstheme="minorHAnsi"/>
          <w:b/>
          <w:color w:val="auto"/>
          <w:sz w:val="24"/>
          <w:szCs w:val="24"/>
          <w:lang w:val="en-GB"/>
        </w:rPr>
        <w:t>eq</w:t>
      </w:r>
      <w:bookmarkEnd w:id="6"/>
    </w:p>
    <w:tbl>
      <w:tblPr>
        <w:tblStyle w:val="TableGrid"/>
        <w:tblW w:w="0" w:type="auto"/>
        <w:tblLook w:val="04A0" w:firstRow="1" w:lastRow="0" w:firstColumn="1" w:lastColumn="0" w:noHBand="0" w:noVBand="1"/>
      </w:tblPr>
      <w:tblGrid>
        <w:gridCol w:w="3187"/>
        <w:gridCol w:w="840"/>
        <w:gridCol w:w="840"/>
        <w:gridCol w:w="839"/>
        <w:gridCol w:w="839"/>
        <w:gridCol w:w="839"/>
        <w:gridCol w:w="839"/>
        <w:gridCol w:w="839"/>
      </w:tblGrid>
      <w:tr w:rsidR="00E02794" w:rsidRPr="00AF391B" w14:paraId="6E710066" w14:textId="77777777" w:rsidTr="00E02794">
        <w:trPr>
          <w:trHeight w:val="300"/>
        </w:trPr>
        <w:tc>
          <w:tcPr>
            <w:tcW w:w="3187" w:type="dxa"/>
            <w:noWrap/>
            <w:hideMark/>
          </w:tcPr>
          <w:p w14:paraId="76F5A9FD" w14:textId="77777777" w:rsidR="00E02794" w:rsidRPr="00AF391B" w:rsidRDefault="00E02794" w:rsidP="000A6988">
            <w:pPr>
              <w:rPr>
                <w:rFonts w:cstheme="minorHAnsi"/>
                <w:b/>
                <w:bCs/>
                <w:sz w:val="24"/>
                <w:szCs w:val="24"/>
              </w:rPr>
            </w:pPr>
            <w:r w:rsidRPr="00AF391B">
              <w:rPr>
                <w:rFonts w:cstheme="minorHAnsi"/>
                <w:b/>
                <w:bCs/>
                <w:sz w:val="24"/>
                <w:szCs w:val="24"/>
              </w:rPr>
              <w:t>GHG Emissions – kt CO</w:t>
            </w:r>
            <w:r w:rsidRPr="00AF391B">
              <w:rPr>
                <w:rFonts w:cstheme="minorHAnsi"/>
                <w:b/>
                <w:bCs/>
                <w:sz w:val="24"/>
                <w:szCs w:val="24"/>
                <w:vertAlign w:val="subscript"/>
              </w:rPr>
              <w:t>2</w:t>
            </w:r>
            <w:r w:rsidRPr="00AF391B">
              <w:rPr>
                <w:rFonts w:cstheme="minorHAnsi"/>
                <w:b/>
                <w:bCs/>
                <w:sz w:val="24"/>
                <w:szCs w:val="24"/>
              </w:rPr>
              <w:t>eq</w:t>
            </w:r>
          </w:p>
        </w:tc>
        <w:tc>
          <w:tcPr>
            <w:tcW w:w="840" w:type="dxa"/>
            <w:noWrap/>
            <w:hideMark/>
          </w:tcPr>
          <w:p w14:paraId="49875482" w14:textId="77777777" w:rsidR="00E02794" w:rsidRPr="00AF391B" w:rsidRDefault="00E02794" w:rsidP="000A6988">
            <w:pPr>
              <w:rPr>
                <w:rFonts w:cstheme="minorHAnsi"/>
                <w:sz w:val="24"/>
                <w:szCs w:val="24"/>
              </w:rPr>
            </w:pPr>
            <w:r w:rsidRPr="00AF391B">
              <w:rPr>
                <w:rFonts w:cstheme="minorHAnsi"/>
                <w:sz w:val="24"/>
                <w:szCs w:val="24"/>
              </w:rPr>
              <w:t>2020</w:t>
            </w:r>
          </w:p>
        </w:tc>
        <w:tc>
          <w:tcPr>
            <w:tcW w:w="840" w:type="dxa"/>
            <w:noWrap/>
            <w:hideMark/>
          </w:tcPr>
          <w:p w14:paraId="67C1D3F8" w14:textId="77777777" w:rsidR="00E02794" w:rsidRPr="00AF391B" w:rsidRDefault="00E02794" w:rsidP="000A6988">
            <w:pPr>
              <w:rPr>
                <w:rFonts w:cstheme="minorHAnsi"/>
                <w:sz w:val="24"/>
                <w:szCs w:val="24"/>
              </w:rPr>
            </w:pPr>
            <w:r w:rsidRPr="00AF391B">
              <w:rPr>
                <w:rFonts w:cstheme="minorHAnsi"/>
                <w:sz w:val="24"/>
                <w:szCs w:val="24"/>
              </w:rPr>
              <w:t>2025</w:t>
            </w:r>
          </w:p>
        </w:tc>
        <w:tc>
          <w:tcPr>
            <w:tcW w:w="839" w:type="dxa"/>
            <w:noWrap/>
            <w:hideMark/>
          </w:tcPr>
          <w:p w14:paraId="11EDBBA5" w14:textId="77777777" w:rsidR="00E02794" w:rsidRPr="00AF391B" w:rsidRDefault="00E02794" w:rsidP="000A6988">
            <w:pPr>
              <w:rPr>
                <w:rFonts w:cstheme="minorHAnsi"/>
                <w:sz w:val="24"/>
                <w:szCs w:val="24"/>
              </w:rPr>
            </w:pPr>
            <w:r w:rsidRPr="00AF391B">
              <w:rPr>
                <w:rFonts w:cstheme="minorHAnsi"/>
                <w:sz w:val="24"/>
                <w:szCs w:val="24"/>
              </w:rPr>
              <w:t>2030</w:t>
            </w:r>
          </w:p>
        </w:tc>
        <w:tc>
          <w:tcPr>
            <w:tcW w:w="839" w:type="dxa"/>
            <w:noWrap/>
            <w:hideMark/>
          </w:tcPr>
          <w:p w14:paraId="684467A7" w14:textId="77777777" w:rsidR="00E02794" w:rsidRPr="00AF391B" w:rsidRDefault="00E02794" w:rsidP="000A6988">
            <w:pPr>
              <w:rPr>
                <w:rFonts w:cstheme="minorHAnsi"/>
                <w:sz w:val="24"/>
                <w:szCs w:val="24"/>
              </w:rPr>
            </w:pPr>
            <w:r w:rsidRPr="00AF391B">
              <w:rPr>
                <w:rFonts w:cstheme="minorHAnsi"/>
                <w:sz w:val="24"/>
                <w:szCs w:val="24"/>
              </w:rPr>
              <w:t>2035</w:t>
            </w:r>
          </w:p>
        </w:tc>
        <w:tc>
          <w:tcPr>
            <w:tcW w:w="839" w:type="dxa"/>
            <w:noWrap/>
            <w:hideMark/>
          </w:tcPr>
          <w:p w14:paraId="23497325" w14:textId="77777777" w:rsidR="00E02794" w:rsidRPr="00AF391B" w:rsidRDefault="00E02794" w:rsidP="000A6988">
            <w:pPr>
              <w:rPr>
                <w:rFonts w:cstheme="minorHAnsi"/>
                <w:sz w:val="24"/>
                <w:szCs w:val="24"/>
              </w:rPr>
            </w:pPr>
            <w:r w:rsidRPr="00AF391B">
              <w:rPr>
                <w:rFonts w:cstheme="minorHAnsi"/>
                <w:sz w:val="24"/>
                <w:szCs w:val="24"/>
              </w:rPr>
              <w:t>2040</w:t>
            </w:r>
          </w:p>
        </w:tc>
        <w:tc>
          <w:tcPr>
            <w:tcW w:w="839" w:type="dxa"/>
            <w:noWrap/>
            <w:hideMark/>
          </w:tcPr>
          <w:p w14:paraId="53D3277C" w14:textId="77777777" w:rsidR="00E02794" w:rsidRPr="00AF391B" w:rsidRDefault="00E02794" w:rsidP="000A6988">
            <w:pPr>
              <w:rPr>
                <w:rFonts w:cstheme="minorHAnsi"/>
                <w:sz w:val="24"/>
                <w:szCs w:val="24"/>
              </w:rPr>
            </w:pPr>
            <w:r w:rsidRPr="00AF391B">
              <w:rPr>
                <w:rFonts w:cstheme="minorHAnsi"/>
                <w:sz w:val="24"/>
                <w:szCs w:val="24"/>
              </w:rPr>
              <w:t>2045</w:t>
            </w:r>
          </w:p>
        </w:tc>
        <w:tc>
          <w:tcPr>
            <w:tcW w:w="839" w:type="dxa"/>
            <w:noWrap/>
            <w:hideMark/>
          </w:tcPr>
          <w:p w14:paraId="669EA01A" w14:textId="77777777" w:rsidR="00E02794" w:rsidRPr="00AF391B" w:rsidRDefault="00E02794" w:rsidP="000A6988">
            <w:pPr>
              <w:rPr>
                <w:rFonts w:cstheme="minorHAnsi"/>
                <w:sz w:val="24"/>
                <w:szCs w:val="24"/>
              </w:rPr>
            </w:pPr>
            <w:r w:rsidRPr="00AF391B">
              <w:rPr>
                <w:rFonts w:cstheme="minorHAnsi"/>
                <w:sz w:val="24"/>
                <w:szCs w:val="24"/>
              </w:rPr>
              <w:t>2050</w:t>
            </w:r>
          </w:p>
        </w:tc>
      </w:tr>
      <w:tr w:rsidR="00E02794" w:rsidRPr="00AF391B" w14:paraId="25E2EB7E" w14:textId="77777777" w:rsidTr="00E02794">
        <w:trPr>
          <w:trHeight w:val="300"/>
        </w:trPr>
        <w:tc>
          <w:tcPr>
            <w:tcW w:w="3187" w:type="dxa"/>
            <w:noWrap/>
            <w:hideMark/>
          </w:tcPr>
          <w:p w14:paraId="00294C09" w14:textId="77777777" w:rsidR="00E02794" w:rsidRPr="00AF391B" w:rsidRDefault="00E02794" w:rsidP="000A6988">
            <w:pPr>
              <w:rPr>
                <w:rFonts w:cstheme="minorHAnsi"/>
                <w:sz w:val="24"/>
                <w:szCs w:val="24"/>
              </w:rPr>
            </w:pPr>
            <w:r w:rsidRPr="00AF391B">
              <w:rPr>
                <w:rFonts w:cstheme="minorHAnsi"/>
                <w:sz w:val="24"/>
                <w:szCs w:val="24"/>
              </w:rPr>
              <w:t>WEM</w:t>
            </w:r>
          </w:p>
        </w:tc>
        <w:tc>
          <w:tcPr>
            <w:tcW w:w="840" w:type="dxa"/>
            <w:noWrap/>
            <w:hideMark/>
          </w:tcPr>
          <w:p w14:paraId="4B5695DD" w14:textId="77777777" w:rsidR="00E02794" w:rsidRPr="00AF391B" w:rsidRDefault="00E02794" w:rsidP="000A6988">
            <w:pPr>
              <w:rPr>
                <w:rFonts w:cstheme="minorHAnsi"/>
                <w:sz w:val="24"/>
                <w:szCs w:val="24"/>
              </w:rPr>
            </w:pPr>
            <w:r w:rsidRPr="00AF391B">
              <w:rPr>
                <w:rFonts w:cstheme="minorHAnsi"/>
                <w:sz w:val="24"/>
                <w:szCs w:val="24"/>
              </w:rPr>
              <w:t>4,896</w:t>
            </w:r>
          </w:p>
        </w:tc>
        <w:tc>
          <w:tcPr>
            <w:tcW w:w="840" w:type="dxa"/>
            <w:noWrap/>
            <w:hideMark/>
          </w:tcPr>
          <w:p w14:paraId="53C019A6" w14:textId="77777777" w:rsidR="00E02794" w:rsidRPr="00AF391B" w:rsidRDefault="00E02794" w:rsidP="000A6988">
            <w:pPr>
              <w:rPr>
                <w:rFonts w:cstheme="minorHAnsi"/>
                <w:sz w:val="24"/>
                <w:szCs w:val="24"/>
              </w:rPr>
            </w:pPr>
            <w:r w:rsidRPr="00AF391B">
              <w:rPr>
                <w:rFonts w:cstheme="minorHAnsi"/>
                <w:sz w:val="24"/>
                <w:szCs w:val="24"/>
              </w:rPr>
              <w:t>5,115</w:t>
            </w:r>
          </w:p>
        </w:tc>
        <w:tc>
          <w:tcPr>
            <w:tcW w:w="839" w:type="dxa"/>
            <w:noWrap/>
            <w:hideMark/>
          </w:tcPr>
          <w:p w14:paraId="0BA4DFC8" w14:textId="77777777" w:rsidR="00E02794" w:rsidRPr="00AF391B" w:rsidRDefault="00E02794" w:rsidP="000A6988">
            <w:pPr>
              <w:rPr>
                <w:rFonts w:cstheme="minorHAnsi"/>
                <w:sz w:val="24"/>
                <w:szCs w:val="24"/>
              </w:rPr>
            </w:pPr>
            <w:r w:rsidRPr="00AF391B">
              <w:rPr>
                <w:rFonts w:cstheme="minorHAnsi"/>
                <w:sz w:val="24"/>
                <w:szCs w:val="24"/>
              </w:rPr>
              <w:t>5,185</w:t>
            </w:r>
          </w:p>
        </w:tc>
        <w:tc>
          <w:tcPr>
            <w:tcW w:w="839" w:type="dxa"/>
            <w:noWrap/>
            <w:hideMark/>
          </w:tcPr>
          <w:p w14:paraId="4F29B367" w14:textId="77777777" w:rsidR="00E02794" w:rsidRPr="00AF391B" w:rsidRDefault="00E02794" w:rsidP="000A6988">
            <w:pPr>
              <w:rPr>
                <w:rFonts w:cstheme="minorHAnsi"/>
                <w:sz w:val="24"/>
                <w:szCs w:val="24"/>
              </w:rPr>
            </w:pPr>
            <w:r w:rsidRPr="00AF391B">
              <w:rPr>
                <w:rFonts w:cstheme="minorHAnsi"/>
                <w:sz w:val="24"/>
                <w:szCs w:val="24"/>
              </w:rPr>
              <w:t>4,965</w:t>
            </w:r>
          </w:p>
        </w:tc>
        <w:tc>
          <w:tcPr>
            <w:tcW w:w="839" w:type="dxa"/>
            <w:noWrap/>
            <w:hideMark/>
          </w:tcPr>
          <w:p w14:paraId="0DD455A8" w14:textId="77777777" w:rsidR="00E02794" w:rsidRPr="00AF391B" w:rsidRDefault="00E02794" w:rsidP="000A6988">
            <w:pPr>
              <w:rPr>
                <w:rFonts w:cstheme="minorHAnsi"/>
                <w:sz w:val="24"/>
                <w:szCs w:val="24"/>
              </w:rPr>
            </w:pPr>
            <w:r w:rsidRPr="00AF391B">
              <w:rPr>
                <w:rFonts w:cstheme="minorHAnsi"/>
                <w:sz w:val="24"/>
                <w:szCs w:val="24"/>
              </w:rPr>
              <w:t>4,894</w:t>
            </w:r>
          </w:p>
        </w:tc>
        <w:tc>
          <w:tcPr>
            <w:tcW w:w="839" w:type="dxa"/>
            <w:noWrap/>
            <w:hideMark/>
          </w:tcPr>
          <w:p w14:paraId="25E6BC57" w14:textId="77777777" w:rsidR="00E02794" w:rsidRPr="00AF391B" w:rsidRDefault="00E02794" w:rsidP="000A6988">
            <w:pPr>
              <w:rPr>
                <w:rFonts w:cstheme="minorHAnsi"/>
                <w:sz w:val="24"/>
                <w:szCs w:val="24"/>
              </w:rPr>
            </w:pPr>
            <w:r w:rsidRPr="00AF391B">
              <w:rPr>
                <w:rFonts w:cstheme="minorHAnsi"/>
                <w:sz w:val="24"/>
                <w:szCs w:val="24"/>
              </w:rPr>
              <w:t>4,955</w:t>
            </w:r>
          </w:p>
        </w:tc>
        <w:tc>
          <w:tcPr>
            <w:tcW w:w="839" w:type="dxa"/>
            <w:noWrap/>
            <w:hideMark/>
          </w:tcPr>
          <w:p w14:paraId="1FD412D3" w14:textId="77777777" w:rsidR="00E02794" w:rsidRPr="00AF391B" w:rsidRDefault="00E02794" w:rsidP="000A6988">
            <w:pPr>
              <w:rPr>
                <w:rFonts w:cstheme="minorHAnsi"/>
                <w:sz w:val="24"/>
                <w:szCs w:val="24"/>
              </w:rPr>
            </w:pPr>
            <w:r w:rsidRPr="00AF391B">
              <w:rPr>
                <w:rFonts w:cstheme="minorHAnsi"/>
                <w:sz w:val="24"/>
                <w:szCs w:val="24"/>
              </w:rPr>
              <w:t>4,990</w:t>
            </w:r>
          </w:p>
        </w:tc>
      </w:tr>
      <w:tr w:rsidR="00E02794" w:rsidRPr="00AF391B" w14:paraId="7EC5263F" w14:textId="77777777" w:rsidTr="00E02794">
        <w:trPr>
          <w:trHeight w:val="300"/>
        </w:trPr>
        <w:tc>
          <w:tcPr>
            <w:tcW w:w="3187" w:type="dxa"/>
            <w:noWrap/>
            <w:hideMark/>
          </w:tcPr>
          <w:p w14:paraId="0D70F527" w14:textId="77777777" w:rsidR="00E02794" w:rsidRPr="00AF391B" w:rsidRDefault="00E02794" w:rsidP="000A6988">
            <w:pPr>
              <w:rPr>
                <w:rFonts w:cstheme="minorHAnsi"/>
                <w:sz w:val="24"/>
                <w:szCs w:val="24"/>
              </w:rPr>
            </w:pPr>
            <w:r w:rsidRPr="00AF391B">
              <w:rPr>
                <w:rFonts w:cstheme="minorHAnsi"/>
                <w:sz w:val="24"/>
                <w:szCs w:val="24"/>
              </w:rPr>
              <w:t>WPM</w:t>
            </w:r>
          </w:p>
        </w:tc>
        <w:tc>
          <w:tcPr>
            <w:tcW w:w="840" w:type="dxa"/>
            <w:noWrap/>
            <w:hideMark/>
          </w:tcPr>
          <w:p w14:paraId="41798B5F" w14:textId="77777777" w:rsidR="00E02794" w:rsidRPr="00AF391B" w:rsidRDefault="00E02794" w:rsidP="000A6988">
            <w:pPr>
              <w:rPr>
                <w:rFonts w:cstheme="minorHAnsi"/>
                <w:sz w:val="24"/>
                <w:szCs w:val="24"/>
              </w:rPr>
            </w:pPr>
            <w:r w:rsidRPr="00AF391B">
              <w:rPr>
                <w:rFonts w:cstheme="minorHAnsi"/>
                <w:sz w:val="24"/>
                <w:szCs w:val="24"/>
              </w:rPr>
              <w:t>4,896</w:t>
            </w:r>
          </w:p>
        </w:tc>
        <w:tc>
          <w:tcPr>
            <w:tcW w:w="840" w:type="dxa"/>
            <w:noWrap/>
            <w:hideMark/>
          </w:tcPr>
          <w:p w14:paraId="6EE489CF" w14:textId="77777777" w:rsidR="00E02794" w:rsidRPr="00AF391B" w:rsidRDefault="00E02794" w:rsidP="000A6988">
            <w:pPr>
              <w:rPr>
                <w:rFonts w:cstheme="minorHAnsi"/>
                <w:sz w:val="24"/>
                <w:szCs w:val="24"/>
              </w:rPr>
            </w:pPr>
            <w:r w:rsidRPr="00AF391B">
              <w:rPr>
                <w:rFonts w:cstheme="minorHAnsi"/>
                <w:sz w:val="24"/>
                <w:szCs w:val="24"/>
              </w:rPr>
              <w:t>5,139</w:t>
            </w:r>
          </w:p>
        </w:tc>
        <w:tc>
          <w:tcPr>
            <w:tcW w:w="839" w:type="dxa"/>
            <w:noWrap/>
            <w:hideMark/>
          </w:tcPr>
          <w:p w14:paraId="5087C348" w14:textId="77777777" w:rsidR="00E02794" w:rsidRPr="00AF391B" w:rsidRDefault="00E02794" w:rsidP="000A6988">
            <w:pPr>
              <w:rPr>
                <w:rFonts w:cstheme="minorHAnsi"/>
                <w:sz w:val="24"/>
                <w:szCs w:val="24"/>
              </w:rPr>
            </w:pPr>
            <w:r w:rsidRPr="00AF391B">
              <w:rPr>
                <w:rFonts w:cstheme="minorHAnsi"/>
                <w:sz w:val="24"/>
                <w:szCs w:val="24"/>
              </w:rPr>
              <w:t>5,179</w:t>
            </w:r>
          </w:p>
        </w:tc>
        <w:tc>
          <w:tcPr>
            <w:tcW w:w="839" w:type="dxa"/>
            <w:noWrap/>
            <w:hideMark/>
          </w:tcPr>
          <w:p w14:paraId="035B8F61" w14:textId="77777777" w:rsidR="00E02794" w:rsidRPr="00AF391B" w:rsidRDefault="00E02794" w:rsidP="000A6988">
            <w:pPr>
              <w:rPr>
                <w:rFonts w:cstheme="minorHAnsi"/>
                <w:sz w:val="24"/>
                <w:szCs w:val="24"/>
              </w:rPr>
            </w:pPr>
            <w:r w:rsidRPr="00AF391B">
              <w:rPr>
                <w:rFonts w:cstheme="minorHAnsi"/>
                <w:sz w:val="24"/>
                <w:szCs w:val="24"/>
              </w:rPr>
              <w:t>4,692</w:t>
            </w:r>
          </w:p>
        </w:tc>
        <w:tc>
          <w:tcPr>
            <w:tcW w:w="839" w:type="dxa"/>
            <w:noWrap/>
            <w:hideMark/>
          </w:tcPr>
          <w:p w14:paraId="6A983721" w14:textId="77777777" w:rsidR="00E02794" w:rsidRPr="00AF391B" w:rsidRDefault="00E02794" w:rsidP="000A6988">
            <w:pPr>
              <w:rPr>
                <w:rFonts w:cstheme="minorHAnsi"/>
                <w:sz w:val="24"/>
                <w:szCs w:val="24"/>
              </w:rPr>
            </w:pPr>
            <w:r w:rsidRPr="00AF391B">
              <w:rPr>
                <w:rFonts w:cstheme="minorHAnsi"/>
                <w:sz w:val="24"/>
                <w:szCs w:val="24"/>
              </w:rPr>
              <w:t>3,988</w:t>
            </w:r>
          </w:p>
        </w:tc>
        <w:tc>
          <w:tcPr>
            <w:tcW w:w="839" w:type="dxa"/>
            <w:noWrap/>
            <w:hideMark/>
          </w:tcPr>
          <w:p w14:paraId="6C87E459" w14:textId="77777777" w:rsidR="00E02794" w:rsidRPr="00AF391B" w:rsidRDefault="00E02794" w:rsidP="000A6988">
            <w:pPr>
              <w:rPr>
                <w:rFonts w:cstheme="minorHAnsi"/>
                <w:sz w:val="24"/>
                <w:szCs w:val="24"/>
              </w:rPr>
            </w:pPr>
            <w:r w:rsidRPr="00AF391B">
              <w:rPr>
                <w:rFonts w:cstheme="minorHAnsi"/>
                <w:sz w:val="24"/>
                <w:szCs w:val="24"/>
              </w:rPr>
              <w:t>3,956</w:t>
            </w:r>
          </w:p>
        </w:tc>
        <w:tc>
          <w:tcPr>
            <w:tcW w:w="839" w:type="dxa"/>
            <w:noWrap/>
            <w:hideMark/>
          </w:tcPr>
          <w:p w14:paraId="345011BC" w14:textId="77777777" w:rsidR="00E02794" w:rsidRPr="00AF391B" w:rsidRDefault="00E02794" w:rsidP="000A6988">
            <w:pPr>
              <w:rPr>
                <w:rFonts w:cstheme="minorHAnsi"/>
                <w:sz w:val="24"/>
                <w:szCs w:val="24"/>
              </w:rPr>
            </w:pPr>
            <w:r w:rsidRPr="00AF391B">
              <w:rPr>
                <w:rFonts w:cstheme="minorHAnsi"/>
                <w:sz w:val="24"/>
                <w:szCs w:val="24"/>
              </w:rPr>
              <w:t>3,955</w:t>
            </w:r>
          </w:p>
        </w:tc>
      </w:tr>
    </w:tbl>
    <w:p w14:paraId="6C592DA1" w14:textId="4A81E22A" w:rsidR="00E02794" w:rsidRPr="00AF391B" w:rsidRDefault="00E02794" w:rsidP="00ED29CF">
      <w:pPr>
        <w:spacing w:before="120"/>
        <w:jc w:val="both"/>
        <w:rPr>
          <w:rFonts w:cstheme="minorHAnsi"/>
          <w:sz w:val="24"/>
          <w:szCs w:val="24"/>
          <w:lang w:val="en-US"/>
        </w:rPr>
      </w:pPr>
      <w:r w:rsidRPr="00AF391B">
        <w:rPr>
          <w:rFonts w:cstheme="minorHAnsi"/>
          <w:sz w:val="24"/>
          <w:szCs w:val="24"/>
          <w:lang w:val="en-US"/>
        </w:rPr>
        <w:t xml:space="preserve">For the </w:t>
      </w:r>
      <w:r w:rsidR="00ED29CF" w:rsidRPr="00AF391B">
        <w:rPr>
          <w:rFonts w:cstheme="minorHAnsi"/>
          <w:sz w:val="24"/>
          <w:szCs w:val="24"/>
          <w:lang w:val="en-US"/>
        </w:rPr>
        <w:t>r</w:t>
      </w:r>
      <w:r w:rsidRPr="00AF391B">
        <w:rPr>
          <w:rFonts w:cstheme="minorHAnsi"/>
          <w:sz w:val="24"/>
          <w:szCs w:val="24"/>
          <w:lang w:val="en-US"/>
        </w:rPr>
        <w:t xml:space="preserve">enewable </w:t>
      </w:r>
      <w:r w:rsidR="00ED29CF" w:rsidRPr="00AF391B">
        <w:rPr>
          <w:rFonts w:cstheme="minorHAnsi"/>
          <w:sz w:val="24"/>
          <w:szCs w:val="24"/>
          <w:lang w:val="en-US"/>
        </w:rPr>
        <w:t>e</w:t>
      </w:r>
      <w:r w:rsidRPr="00AF391B">
        <w:rPr>
          <w:rFonts w:cstheme="minorHAnsi"/>
          <w:sz w:val="24"/>
          <w:szCs w:val="24"/>
          <w:lang w:val="en-US"/>
        </w:rPr>
        <w:t>nergy, projections are presented for 3 sub-sectors: Heating and Cooling (RES-H&amp;C), Electricity (RES-E) and Transport (RES-T</w:t>
      </w:r>
      <w:r w:rsidR="008A6BBC">
        <w:rPr>
          <w:rFonts w:cstheme="minorHAnsi"/>
          <w:sz w:val="24"/>
          <w:szCs w:val="24"/>
          <w:lang w:val="en-US"/>
        </w:rPr>
        <w:t>, without and with multipliers</w:t>
      </w:r>
      <w:r w:rsidRPr="00AF391B">
        <w:rPr>
          <w:rFonts w:cstheme="minorHAnsi"/>
          <w:sz w:val="24"/>
          <w:szCs w:val="24"/>
          <w:lang w:val="en-US"/>
        </w:rPr>
        <w:t>). Modelled trajectories for these sub-sectors in the W</w:t>
      </w:r>
      <w:r w:rsidR="008A6BBC">
        <w:rPr>
          <w:rFonts w:cstheme="minorHAnsi"/>
          <w:sz w:val="24"/>
          <w:szCs w:val="24"/>
          <w:lang w:val="en-US"/>
        </w:rPr>
        <w:t>P</w:t>
      </w:r>
      <w:r w:rsidRPr="00AF391B">
        <w:rPr>
          <w:rFonts w:cstheme="minorHAnsi"/>
          <w:sz w:val="24"/>
          <w:szCs w:val="24"/>
          <w:lang w:val="en-US"/>
        </w:rPr>
        <w:t>M scenario, based on existing data and on projections up to the year 2050 are presented in the Table 4 below:</w:t>
      </w:r>
    </w:p>
    <w:p w14:paraId="34386550" w14:textId="74300909" w:rsidR="00E02794" w:rsidRDefault="00E02794" w:rsidP="00ED29CF">
      <w:pPr>
        <w:pStyle w:val="Caption"/>
        <w:jc w:val="both"/>
        <w:rPr>
          <w:rFonts w:cstheme="minorHAnsi"/>
          <w:b/>
          <w:bCs/>
          <w:color w:val="auto"/>
          <w:sz w:val="24"/>
          <w:szCs w:val="24"/>
          <w:lang w:val="en-US"/>
        </w:rPr>
      </w:pPr>
      <w:bookmarkStart w:id="7" w:name="_Toc153298677"/>
      <w:r w:rsidRPr="00AF391B">
        <w:rPr>
          <w:rFonts w:cstheme="minorHAnsi"/>
          <w:b/>
          <w:bCs/>
          <w:color w:val="auto"/>
          <w:sz w:val="24"/>
          <w:szCs w:val="24"/>
          <w:lang w:val="en-US"/>
        </w:rPr>
        <w:t xml:space="preserve">Table </w:t>
      </w:r>
      <w:r w:rsidRPr="00AF391B">
        <w:rPr>
          <w:rFonts w:cstheme="minorHAnsi"/>
          <w:b/>
          <w:bCs/>
          <w:color w:val="auto"/>
          <w:sz w:val="24"/>
          <w:szCs w:val="24"/>
        </w:rPr>
        <w:fldChar w:fldCharType="begin"/>
      </w:r>
      <w:r w:rsidRPr="00AF391B">
        <w:rPr>
          <w:rFonts w:cstheme="minorHAnsi"/>
          <w:b/>
          <w:bCs/>
          <w:color w:val="auto"/>
          <w:sz w:val="24"/>
          <w:szCs w:val="24"/>
          <w:lang w:val="en-US"/>
        </w:rPr>
        <w:instrText xml:space="preserve"> SEQ Table \* ARABIC </w:instrText>
      </w:r>
      <w:r w:rsidRPr="00AF391B">
        <w:rPr>
          <w:rFonts w:cstheme="minorHAnsi"/>
          <w:b/>
          <w:bCs/>
          <w:color w:val="auto"/>
          <w:sz w:val="24"/>
          <w:szCs w:val="24"/>
        </w:rPr>
        <w:fldChar w:fldCharType="separate"/>
      </w:r>
      <w:r w:rsidRPr="00AF391B">
        <w:rPr>
          <w:rFonts w:cstheme="minorHAnsi"/>
          <w:b/>
          <w:bCs/>
          <w:noProof/>
          <w:color w:val="auto"/>
          <w:sz w:val="24"/>
          <w:szCs w:val="24"/>
          <w:lang w:val="en-US"/>
        </w:rPr>
        <w:t>4</w:t>
      </w:r>
      <w:r w:rsidRPr="00AF391B">
        <w:rPr>
          <w:rFonts w:cstheme="minorHAnsi"/>
          <w:b/>
          <w:bCs/>
          <w:color w:val="auto"/>
          <w:sz w:val="24"/>
          <w:szCs w:val="24"/>
        </w:rPr>
        <w:fldChar w:fldCharType="end"/>
      </w:r>
      <w:r w:rsidRPr="00AF391B">
        <w:rPr>
          <w:rFonts w:cstheme="minorHAnsi"/>
          <w:b/>
          <w:bCs/>
          <w:color w:val="auto"/>
          <w:sz w:val="24"/>
          <w:szCs w:val="24"/>
          <w:lang w:val="en-US"/>
        </w:rPr>
        <w:t xml:space="preserve">. </w:t>
      </w:r>
      <w:r w:rsidR="008A6BBC" w:rsidRPr="00774E29">
        <w:rPr>
          <w:rFonts w:cstheme="minorHAnsi"/>
          <w:b/>
          <w:bCs/>
          <w:color w:val="auto"/>
          <w:sz w:val="24"/>
          <w:szCs w:val="24"/>
          <w:lang w:val="en-US"/>
        </w:rPr>
        <w:t>Trajectories for renewable heating and cooling, electricity and transport (WPM) in the period 2016 – 2050</w:t>
      </w:r>
      <w:bookmarkEnd w:id="7"/>
    </w:p>
    <w:p w14:paraId="03698116" w14:textId="77777777" w:rsidR="008A6BBC" w:rsidRPr="002B6A9F" w:rsidRDefault="008A6BBC" w:rsidP="008A6BBC">
      <w:pPr>
        <w:pStyle w:val="Caption"/>
        <w:rPr>
          <w:rFonts w:ascii="Times New Roman" w:hAnsi="Times New Roman" w:cs="Times New Roman"/>
          <w:b/>
          <w:bCs/>
          <w:color w:val="auto"/>
          <w:sz w:val="20"/>
          <w:szCs w:val="20"/>
          <w:lang w:val="en-US"/>
        </w:rPr>
      </w:pPr>
    </w:p>
    <w:tbl>
      <w:tblPr>
        <w:tblW w:w="5000" w:type="pct"/>
        <w:tblCellMar>
          <w:left w:w="28" w:type="dxa"/>
          <w:right w:w="28" w:type="dxa"/>
        </w:tblCellMar>
        <w:tblLook w:val="04A0" w:firstRow="1" w:lastRow="0" w:firstColumn="1" w:lastColumn="0" w:noHBand="0" w:noVBand="1"/>
      </w:tblPr>
      <w:tblGrid>
        <w:gridCol w:w="1887"/>
        <w:gridCol w:w="423"/>
        <w:gridCol w:w="423"/>
        <w:gridCol w:w="423"/>
        <w:gridCol w:w="423"/>
        <w:gridCol w:w="423"/>
        <w:gridCol w:w="423"/>
        <w:gridCol w:w="422"/>
        <w:gridCol w:w="422"/>
        <w:gridCol w:w="422"/>
        <w:gridCol w:w="422"/>
        <w:gridCol w:w="422"/>
        <w:gridCol w:w="422"/>
        <w:gridCol w:w="422"/>
        <w:gridCol w:w="422"/>
        <w:gridCol w:w="422"/>
        <w:gridCol w:w="422"/>
        <w:gridCol w:w="422"/>
      </w:tblGrid>
      <w:tr w:rsidR="008A6BBC" w:rsidRPr="00201501" w14:paraId="5AFF6D33" w14:textId="77777777" w:rsidTr="005A1CEA">
        <w:trPr>
          <w:trHeight w:val="290"/>
        </w:trPr>
        <w:tc>
          <w:tcPr>
            <w:tcW w:w="881" w:type="pct"/>
            <w:tcBorders>
              <w:top w:val="single" w:sz="4" w:space="0" w:color="auto"/>
              <w:left w:val="single" w:sz="4" w:space="0" w:color="auto"/>
              <w:bottom w:val="single" w:sz="4" w:space="0" w:color="auto"/>
              <w:right w:val="single" w:sz="4" w:space="0" w:color="auto"/>
            </w:tcBorders>
            <w:shd w:val="clear" w:color="000000" w:fill="9BBB59"/>
            <w:noWrap/>
            <w:vAlign w:val="bottom"/>
            <w:hideMark/>
          </w:tcPr>
          <w:p w14:paraId="0189D1E8" w14:textId="77777777" w:rsidR="008A6BBC" w:rsidRPr="00774E29" w:rsidRDefault="008A6BBC" w:rsidP="005A1CEA">
            <w:pPr>
              <w:spacing w:after="0" w:line="240" w:lineRule="auto"/>
              <w:rPr>
                <w:rFonts w:eastAsia="Times New Roman" w:cstheme="minorHAnsi"/>
                <w:b/>
                <w:bCs/>
                <w:color w:val="FFFFFF"/>
                <w:sz w:val="18"/>
                <w:szCs w:val="14"/>
              </w:rPr>
            </w:pPr>
            <w:r w:rsidRPr="00774E29">
              <w:rPr>
                <w:rFonts w:eastAsia="Times New Roman" w:cstheme="minorHAnsi"/>
                <w:b/>
                <w:bCs/>
                <w:color w:val="FFFFFF"/>
                <w:sz w:val="18"/>
                <w:szCs w:val="14"/>
              </w:rPr>
              <w:t>Renewable trajectories</w:t>
            </w:r>
          </w:p>
        </w:tc>
        <w:tc>
          <w:tcPr>
            <w:tcW w:w="242" w:type="pct"/>
            <w:tcBorders>
              <w:top w:val="nil"/>
              <w:left w:val="nil"/>
              <w:bottom w:val="nil"/>
              <w:right w:val="nil"/>
            </w:tcBorders>
            <w:shd w:val="clear" w:color="000000" w:fill="9BBB59"/>
            <w:noWrap/>
            <w:vAlign w:val="bottom"/>
            <w:hideMark/>
          </w:tcPr>
          <w:p w14:paraId="1F466B81"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2016</w:t>
            </w:r>
          </w:p>
        </w:tc>
        <w:tc>
          <w:tcPr>
            <w:tcW w:w="242" w:type="pct"/>
            <w:tcBorders>
              <w:top w:val="nil"/>
              <w:left w:val="nil"/>
              <w:bottom w:val="nil"/>
              <w:right w:val="nil"/>
            </w:tcBorders>
            <w:shd w:val="clear" w:color="000000" w:fill="9BBB59"/>
            <w:noWrap/>
            <w:vAlign w:val="bottom"/>
            <w:hideMark/>
          </w:tcPr>
          <w:p w14:paraId="6B96EC82"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2017</w:t>
            </w:r>
          </w:p>
        </w:tc>
        <w:tc>
          <w:tcPr>
            <w:tcW w:w="242" w:type="pct"/>
            <w:tcBorders>
              <w:top w:val="nil"/>
              <w:left w:val="nil"/>
              <w:bottom w:val="nil"/>
              <w:right w:val="nil"/>
            </w:tcBorders>
            <w:shd w:val="clear" w:color="000000" w:fill="9BBB59"/>
            <w:noWrap/>
            <w:vAlign w:val="bottom"/>
            <w:hideMark/>
          </w:tcPr>
          <w:p w14:paraId="17FC28DC"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2020</w:t>
            </w:r>
          </w:p>
        </w:tc>
        <w:tc>
          <w:tcPr>
            <w:tcW w:w="242" w:type="pct"/>
            <w:tcBorders>
              <w:top w:val="nil"/>
              <w:left w:val="nil"/>
              <w:bottom w:val="nil"/>
              <w:right w:val="nil"/>
            </w:tcBorders>
            <w:shd w:val="clear" w:color="000000" w:fill="9BBB59"/>
            <w:noWrap/>
            <w:vAlign w:val="bottom"/>
            <w:hideMark/>
          </w:tcPr>
          <w:p w14:paraId="3FB831E6"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2021</w:t>
            </w:r>
          </w:p>
        </w:tc>
        <w:tc>
          <w:tcPr>
            <w:tcW w:w="242" w:type="pct"/>
            <w:tcBorders>
              <w:top w:val="nil"/>
              <w:left w:val="nil"/>
              <w:bottom w:val="nil"/>
              <w:right w:val="nil"/>
            </w:tcBorders>
            <w:shd w:val="clear" w:color="000000" w:fill="9BBB59"/>
            <w:noWrap/>
            <w:vAlign w:val="bottom"/>
            <w:hideMark/>
          </w:tcPr>
          <w:p w14:paraId="185F2451"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2022</w:t>
            </w:r>
          </w:p>
        </w:tc>
        <w:tc>
          <w:tcPr>
            <w:tcW w:w="242" w:type="pct"/>
            <w:tcBorders>
              <w:top w:val="nil"/>
              <w:left w:val="nil"/>
              <w:bottom w:val="nil"/>
              <w:right w:val="nil"/>
            </w:tcBorders>
            <w:shd w:val="clear" w:color="000000" w:fill="9BBB59"/>
            <w:noWrap/>
            <w:vAlign w:val="bottom"/>
            <w:hideMark/>
          </w:tcPr>
          <w:p w14:paraId="1500F026"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2023</w:t>
            </w:r>
          </w:p>
        </w:tc>
        <w:tc>
          <w:tcPr>
            <w:tcW w:w="242" w:type="pct"/>
            <w:tcBorders>
              <w:top w:val="nil"/>
              <w:left w:val="nil"/>
              <w:bottom w:val="nil"/>
              <w:right w:val="nil"/>
            </w:tcBorders>
            <w:shd w:val="clear" w:color="000000" w:fill="9BBB59"/>
            <w:noWrap/>
            <w:vAlign w:val="bottom"/>
            <w:hideMark/>
          </w:tcPr>
          <w:p w14:paraId="6009A889"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2024</w:t>
            </w:r>
          </w:p>
        </w:tc>
        <w:tc>
          <w:tcPr>
            <w:tcW w:w="242" w:type="pct"/>
            <w:tcBorders>
              <w:top w:val="nil"/>
              <w:left w:val="nil"/>
              <w:bottom w:val="nil"/>
              <w:right w:val="nil"/>
            </w:tcBorders>
            <w:shd w:val="clear" w:color="000000" w:fill="9BBB59"/>
            <w:noWrap/>
            <w:vAlign w:val="bottom"/>
            <w:hideMark/>
          </w:tcPr>
          <w:p w14:paraId="6D937B97"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2025</w:t>
            </w:r>
          </w:p>
        </w:tc>
        <w:tc>
          <w:tcPr>
            <w:tcW w:w="242" w:type="pct"/>
            <w:tcBorders>
              <w:top w:val="nil"/>
              <w:left w:val="nil"/>
              <w:bottom w:val="nil"/>
              <w:right w:val="nil"/>
            </w:tcBorders>
            <w:shd w:val="clear" w:color="000000" w:fill="9BBB59"/>
            <w:noWrap/>
            <w:vAlign w:val="bottom"/>
            <w:hideMark/>
          </w:tcPr>
          <w:p w14:paraId="4DF9384E"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2026</w:t>
            </w:r>
          </w:p>
        </w:tc>
        <w:tc>
          <w:tcPr>
            <w:tcW w:w="242" w:type="pct"/>
            <w:tcBorders>
              <w:top w:val="nil"/>
              <w:left w:val="nil"/>
              <w:bottom w:val="nil"/>
              <w:right w:val="nil"/>
            </w:tcBorders>
            <w:shd w:val="clear" w:color="000000" w:fill="9BBB59"/>
            <w:noWrap/>
            <w:vAlign w:val="bottom"/>
            <w:hideMark/>
          </w:tcPr>
          <w:p w14:paraId="6CF1EA44"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2027</w:t>
            </w:r>
          </w:p>
        </w:tc>
        <w:tc>
          <w:tcPr>
            <w:tcW w:w="242" w:type="pct"/>
            <w:tcBorders>
              <w:top w:val="nil"/>
              <w:left w:val="nil"/>
              <w:bottom w:val="nil"/>
              <w:right w:val="nil"/>
            </w:tcBorders>
            <w:shd w:val="clear" w:color="000000" w:fill="9BBB59"/>
            <w:noWrap/>
            <w:vAlign w:val="bottom"/>
            <w:hideMark/>
          </w:tcPr>
          <w:p w14:paraId="17B51C0E"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2028</w:t>
            </w:r>
          </w:p>
        </w:tc>
        <w:tc>
          <w:tcPr>
            <w:tcW w:w="242" w:type="pct"/>
            <w:tcBorders>
              <w:top w:val="nil"/>
              <w:left w:val="nil"/>
              <w:bottom w:val="nil"/>
              <w:right w:val="nil"/>
            </w:tcBorders>
            <w:shd w:val="clear" w:color="000000" w:fill="9BBB59"/>
            <w:noWrap/>
            <w:vAlign w:val="bottom"/>
            <w:hideMark/>
          </w:tcPr>
          <w:p w14:paraId="1A02078D"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2029</w:t>
            </w:r>
          </w:p>
        </w:tc>
        <w:tc>
          <w:tcPr>
            <w:tcW w:w="242" w:type="pct"/>
            <w:tcBorders>
              <w:top w:val="nil"/>
              <w:left w:val="nil"/>
              <w:bottom w:val="nil"/>
              <w:right w:val="nil"/>
            </w:tcBorders>
            <w:shd w:val="clear" w:color="000000" w:fill="9BBB59"/>
            <w:noWrap/>
            <w:vAlign w:val="bottom"/>
            <w:hideMark/>
          </w:tcPr>
          <w:p w14:paraId="5AE8641E"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2030</w:t>
            </w:r>
          </w:p>
        </w:tc>
        <w:tc>
          <w:tcPr>
            <w:tcW w:w="242" w:type="pct"/>
            <w:tcBorders>
              <w:top w:val="nil"/>
              <w:left w:val="nil"/>
              <w:bottom w:val="nil"/>
              <w:right w:val="nil"/>
            </w:tcBorders>
            <w:shd w:val="clear" w:color="000000" w:fill="9BBB59"/>
            <w:noWrap/>
            <w:vAlign w:val="bottom"/>
            <w:hideMark/>
          </w:tcPr>
          <w:p w14:paraId="2055C012"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2035</w:t>
            </w:r>
          </w:p>
        </w:tc>
        <w:tc>
          <w:tcPr>
            <w:tcW w:w="242" w:type="pct"/>
            <w:tcBorders>
              <w:top w:val="nil"/>
              <w:left w:val="nil"/>
              <w:bottom w:val="nil"/>
              <w:right w:val="nil"/>
            </w:tcBorders>
            <w:shd w:val="clear" w:color="000000" w:fill="9BBB59"/>
            <w:noWrap/>
            <w:vAlign w:val="bottom"/>
            <w:hideMark/>
          </w:tcPr>
          <w:p w14:paraId="14B63EF8"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2040</w:t>
            </w:r>
          </w:p>
        </w:tc>
        <w:tc>
          <w:tcPr>
            <w:tcW w:w="242" w:type="pct"/>
            <w:tcBorders>
              <w:top w:val="nil"/>
              <w:left w:val="nil"/>
              <w:bottom w:val="nil"/>
              <w:right w:val="nil"/>
            </w:tcBorders>
            <w:shd w:val="clear" w:color="000000" w:fill="9BBB59"/>
            <w:noWrap/>
            <w:vAlign w:val="bottom"/>
            <w:hideMark/>
          </w:tcPr>
          <w:p w14:paraId="2E9A6E10"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2045</w:t>
            </w:r>
          </w:p>
        </w:tc>
        <w:tc>
          <w:tcPr>
            <w:tcW w:w="242" w:type="pct"/>
            <w:tcBorders>
              <w:top w:val="nil"/>
              <w:left w:val="nil"/>
              <w:bottom w:val="nil"/>
              <w:right w:val="nil"/>
            </w:tcBorders>
            <w:shd w:val="clear" w:color="000000" w:fill="9BBB59"/>
            <w:noWrap/>
            <w:vAlign w:val="bottom"/>
            <w:hideMark/>
          </w:tcPr>
          <w:p w14:paraId="757D179A" w14:textId="77777777" w:rsidR="008A6BBC" w:rsidRPr="00774E29" w:rsidRDefault="008A6BBC" w:rsidP="005A1CEA">
            <w:pPr>
              <w:spacing w:after="0" w:line="240" w:lineRule="auto"/>
              <w:jc w:val="right"/>
              <w:rPr>
                <w:rFonts w:eastAsia="Times New Roman" w:cstheme="minorHAnsi"/>
                <w:b/>
                <w:bCs/>
                <w:color w:val="FFFFFF"/>
                <w:sz w:val="18"/>
                <w:szCs w:val="14"/>
              </w:rPr>
            </w:pPr>
            <w:r w:rsidRPr="00774E29">
              <w:rPr>
                <w:rFonts w:eastAsia="Times New Roman" w:cstheme="minorHAnsi"/>
                <w:b/>
                <w:bCs/>
                <w:color w:val="FFFFFF"/>
                <w:sz w:val="18"/>
                <w:szCs w:val="14"/>
              </w:rPr>
              <w:t>2050</w:t>
            </w:r>
          </w:p>
        </w:tc>
      </w:tr>
      <w:tr w:rsidR="008A6BBC" w:rsidRPr="00201501" w14:paraId="21F35309" w14:textId="77777777" w:rsidTr="005A1CEA">
        <w:trPr>
          <w:trHeight w:val="370"/>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140D19EB" w14:textId="77777777" w:rsidR="008A6BBC" w:rsidRPr="00774E29" w:rsidRDefault="008A6BBC" w:rsidP="005A1CEA">
            <w:pPr>
              <w:spacing w:after="0" w:line="240" w:lineRule="auto"/>
              <w:rPr>
                <w:rFonts w:eastAsia="Times New Roman" w:cstheme="minorHAnsi"/>
                <w:color w:val="000000"/>
                <w:sz w:val="18"/>
                <w:szCs w:val="14"/>
              </w:rPr>
            </w:pPr>
            <w:r w:rsidRPr="00774E29">
              <w:rPr>
                <w:rFonts w:eastAsia="Times New Roman" w:cstheme="minorHAnsi"/>
                <w:color w:val="000000"/>
                <w:sz w:val="18"/>
                <w:szCs w:val="14"/>
              </w:rPr>
              <w:t>RES-H&amp;C (%)</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55A7FE6C"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44.3%</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28D85BF6"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44.6%</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0F4CC755"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41.8%</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0F87CEFD"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41.6%</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681C81D8"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41.5%</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28AE35AE"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41.5%</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3E4E1181"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41.5%</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54024BAB"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41.5%</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771DB5BC"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41.7%</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49D1EC9A"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42.2%</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156E9ACD"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42.5%</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4F356F8E"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42.7%</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5005868F"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42.8%</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7F07EBF8"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43.1%</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6DF488FE"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40.4%</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59387ADF"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34.9%</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66CEADED"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32.2%</w:t>
            </w:r>
          </w:p>
        </w:tc>
      </w:tr>
      <w:tr w:rsidR="008A6BBC" w:rsidRPr="00201501" w14:paraId="761C1D06" w14:textId="77777777" w:rsidTr="005A1CEA">
        <w:trPr>
          <w:trHeight w:val="370"/>
        </w:trPr>
        <w:tc>
          <w:tcPr>
            <w:tcW w:w="881" w:type="pct"/>
            <w:tcBorders>
              <w:top w:val="nil"/>
              <w:left w:val="single" w:sz="4" w:space="0" w:color="auto"/>
              <w:bottom w:val="single" w:sz="4" w:space="0" w:color="auto"/>
              <w:right w:val="single" w:sz="4" w:space="0" w:color="auto"/>
            </w:tcBorders>
            <w:shd w:val="clear" w:color="000000" w:fill="00B050"/>
            <w:noWrap/>
            <w:vAlign w:val="center"/>
            <w:hideMark/>
          </w:tcPr>
          <w:p w14:paraId="0EC5565E" w14:textId="77777777" w:rsidR="008A6BBC" w:rsidRPr="00774E29" w:rsidRDefault="008A6BBC" w:rsidP="005A1CEA">
            <w:pPr>
              <w:spacing w:after="0" w:line="240" w:lineRule="auto"/>
              <w:rPr>
                <w:rFonts w:eastAsia="Times New Roman" w:cstheme="minorHAnsi"/>
                <w:color w:val="FFFFFF"/>
                <w:sz w:val="18"/>
                <w:szCs w:val="14"/>
              </w:rPr>
            </w:pPr>
            <w:r w:rsidRPr="00774E29">
              <w:rPr>
                <w:rFonts w:eastAsia="Times New Roman" w:cstheme="minorHAnsi"/>
                <w:color w:val="FFFFFF"/>
                <w:sz w:val="18"/>
                <w:szCs w:val="14"/>
              </w:rPr>
              <w:t>RES-E (%)</w:t>
            </w:r>
          </w:p>
        </w:tc>
        <w:tc>
          <w:tcPr>
            <w:tcW w:w="242" w:type="pct"/>
            <w:tcBorders>
              <w:top w:val="nil"/>
              <w:left w:val="nil"/>
              <w:bottom w:val="single" w:sz="4" w:space="0" w:color="auto"/>
              <w:right w:val="single" w:sz="4" w:space="0" w:color="auto"/>
            </w:tcBorders>
            <w:shd w:val="clear" w:color="000000" w:fill="00B050"/>
            <w:noWrap/>
            <w:vAlign w:val="center"/>
            <w:hideMark/>
          </w:tcPr>
          <w:p w14:paraId="438EFC4F"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1.6%</w:t>
            </w:r>
          </w:p>
        </w:tc>
        <w:tc>
          <w:tcPr>
            <w:tcW w:w="242" w:type="pct"/>
            <w:tcBorders>
              <w:top w:val="nil"/>
              <w:left w:val="nil"/>
              <w:bottom w:val="single" w:sz="4" w:space="0" w:color="auto"/>
              <w:right w:val="single" w:sz="4" w:space="0" w:color="auto"/>
            </w:tcBorders>
            <w:shd w:val="clear" w:color="000000" w:fill="00B050"/>
            <w:noWrap/>
            <w:vAlign w:val="center"/>
            <w:hideMark/>
          </w:tcPr>
          <w:p w14:paraId="5F724A53"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2.0%</w:t>
            </w:r>
          </w:p>
        </w:tc>
        <w:tc>
          <w:tcPr>
            <w:tcW w:w="242" w:type="pct"/>
            <w:tcBorders>
              <w:top w:val="nil"/>
              <w:left w:val="nil"/>
              <w:bottom w:val="single" w:sz="4" w:space="0" w:color="auto"/>
              <w:right w:val="single" w:sz="4" w:space="0" w:color="auto"/>
            </w:tcBorders>
            <w:shd w:val="clear" w:color="000000" w:fill="00B050"/>
            <w:noWrap/>
            <w:vAlign w:val="center"/>
            <w:hideMark/>
          </w:tcPr>
          <w:p w14:paraId="3E9A3402"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2.2%</w:t>
            </w:r>
          </w:p>
        </w:tc>
        <w:tc>
          <w:tcPr>
            <w:tcW w:w="242" w:type="pct"/>
            <w:tcBorders>
              <w:top w:val="nil"/>
              <w:left w:val="nil"/>
              <w:bottom w:val="single" w:sz="4" w:space="0" w:color="auto"/>
              <w:right w:val="single" w:sz="4" w:space="0" w:color="auto"/>
            </w:tcBorders>
            <w:shd w:val="clear" w:color="000000" w:fill="00B050"/>
            <w:noWrap/>
            <w:vAlign w:val="center"/>
            <w:hideMark/>
          </w:tcPr>
          <w:p w14:paraId="3CCA131C"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2.8%</w:t>
            </w:r>
          </w:p>
        </w:tc>
        <w:tc>
          <w:tcPr>
            <w:tcW w:w="242" w:type="pct"/>
            <w:tcBorders>
              <w:top w:val="nil"/>
              <w:left w:val="nil"/>
              <w:bottom w:val="single" w:sz="4" w:space="0" w:color="auto"/>
              <w:right w:val="single" w:sz="4" w:space="0" w:color="auto"/>
            </w:tcBorders>
            <w:shd w:val="clear" w:color="000000" w:fill="00B050"/>
            <w:noWrap/>
            <w:vAlign w:val="center"/>
            <w:hideMark/>
          </w:tcPr>
          <w:p w14:paraId="2F4BDF9B"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2.8%</w:t>
            </w:r>
          </w:p>
        </w:tc>
        <w:tc>
          <w:tcPr>
            <w:tcW w:w="242" w:type="pct"/>
            <w:tcBorders>
              <w:top w:val="nil"/>
              <w:left w:val="nil"/>
              <w:bottom w:val="single" w:sz="4" w:space="0" w:color="auto"/>
              <w:right w:val="single" w:sz="4" w:space="0" w:color="auto"/>
            </w:tcBorders>
            <w:shd w:val="clear" w:color="000000" w:fill="00B050"/>
            <w:noWrap/>
            <w:vAlign w:val="center"/>
            <w:hideMark/>
          </w:tcPr>
          <w:p w14:paraId="0CCE0D43"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7.6%</w:t>
            </w:r>
          </w:p>
        </w:tc>
        <w:tc>
          <w:tcPr>
            <w:tcW w:w="242" w:type="pct"/>
            <w:tcBorders>
              <w:top w:val="nil"/>
              <w:left w:val="nil"/>
              <w:bottom w:val="single" w:sz="4" w:space="0" w:color="auto"/>
              <w:right w:val="single" w:sz="4" w:space="0" w:color="auto"/>
            </w:tcBorders>
            <w:shd w:val="clear" w:color="000000" w:fill="00B050"/>
            <w:noWrap/>
            <w:vAlign w:val="center"/>
            <w:hideMark/>
          </w:tcPr>
          <w:p w14:paraId="57DF6F8C"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7.5%</w:t>
            </w:r>
          </w:p>
        </w:tc>
        <w:tc>
          <w:tcPr>
            <w:tcW w:w="242" w:type="pct"/>
            <w:tcBorders>
              <w:top w:val="nil"/>
              <w:left w:val="nil"/>
              <w:bottom w:val="single" w:sz="4" w:space="0" w:color="auto"/>
              <w:right w:val="single" w:sz="4" w:space="0" w:color="auto"/>
            </w:tcBorders>
            <w:shd w:val="clear" w:color="000000" w:fill="00B050"/>
            <w:noWrap/>
            <w:vAlign w:val="center"/>
            <w:hideMark/>
          </w:tcPr>
          <w:p w14:paraId="31C72E25"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13.1%</w:t>
            </w:r>
          </w:p>
        </w:tc>
        <w:tc>
          <w:tcPr>
            <w:tcW w:w="242" w:type="pct"/>
            <w:tcBorders>
              <w:top w:val="nil"/>
              <w:left w:val="nil"/>
              <w:bottom w:val="single" w:sz="4" w:space="0" w:color="auto"/>
              <w:right w:val="single" w:sz="4" w:space="0" w:color="auto"/>
            </w:tcBorders>
            <w:shd w:val="clear" w:color="000000" w:fill="00B050"/>
            <w:noWrap/>
            <w:vAlign w:val="center"/>
            <w:hideMark/>
          </w:tcPr>
          <w:p w14:paraId="41420494"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17.5%</w:t>
            </w:r>
          </w:p>
        </w:tc>
        <w:tc>
          <w:tcPr>
            <w:tcW w:w="242" w:type="pct"/>
            <w:tcBorders>
              <w:top w:val="nil"/>
              <w:left w:val="nil"/>
              <w:bottom w:val="single" w:sz="4" w:space="0" w:color="auto"/>
              <w:right w:val="single" w:sz="4" w:space="0" w:color="auto"/>
            </w:tcBorders>
            <w:shd w:val="clear" w:color="000000" w:fill="00B050"/>
            <w:noWrap/>
            <w:vAlign w:val="center"/>
            <w:hideMark/>
          </w:tcPr>
          <w:p w14:paraId="1CB67204"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22.5%</w:t>
            </w:r>
          </w:p>
        </w:tc>
        <w:tc>
          <w:tcPr>
            <w:tcW w:w="242" w:type="pct"/>
            <w:tcBorders>
              <w:top w:val="nil"/>
              <w:left w:val="nil"/>
              <w:bottom w:val="single" w:sz="4" w:space="0" w:color="auto"/>
              <w:right w:val="single" w:sz="4" w:space="0" w:color="auto"/>
            </w:tcBorders>
            <w:shd w:val="clear" w:color="000000" w:fill="00B050"/>
            <w:noWrap/>
            <w:vAlign w:val="center"/>
            <w:hideMark/>
          </w:tcPr>
          <w:p w14:paraId="1E40CB89"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26.7%</w:t>
            </w:r>
          </w:p>
        </w:tc>
        <w:tc>
          <w:tcPr>
            <w:tcW w:w="242" w:type="pct"/>
            <w:tcBorders>
              <w:top w:val="nil"/>
              <w:left w:val="nil"/>
              <w:bottom w:val="single" w:sz="4" w:space="0" w:color="auto"/>
              <w:right w:val="single" w:sz="4" w:space="0" w:color="auto"/>
            </w:tcBorders>
            <w:shd w:val="clear" w:color="000000" w:fill="00B050"/>
            <w:noWrap/>
            <w:vAlign w:val="center"/>
            <w:hideMark/>
          </w:tcPr>
          <w:p w14:paraId="36CD1692"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31.2%</w:t>
            </w:r>
          </w:p>
        </w:tc>
        <w:tc>
          <w:tcPr>
            <w:tcW w:w="242" w:type="pct"/>
            <w:tcBorders>
              <w:top w:val="nil"/>
              <w:left w:val="nil"/>
              <w:bottom w:val="single" w:sz="4" w:space="0" w:color="auto"/>
              <w:right w:val="single" w:sz="4" w:space="0" w:color="auto"/>
            </w:tcBorders>
            <w:shd w:val="clear" w:color="000000" w:fill="00B050"/>
            <w:noWrap/>
            <w:vAlign w:val="center"/>
            <w:hideMark/>
          </w:tcPr>
          <w:p w14:paraId="74E7A3AC"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34.1%</w:t>
            </w:r>
          </w:p>
        </w:tc>
        <w:tc>
          <w:tcPr>
            <w:tcW w:w="242" w:type="pct"/>
            <w:tcBorders>
              <w:top w:val="nil"/>
              <w:left w:val="nil"/>
              <w:bottom w:val="single" w:sz="4" w:space="0" w:color="auto"/>
              <w:right w:val="single" w:sz="4" w:space="0" w:color="auto"/>
            </w:tcBorders>
            <w:shd w:val="clear" w:color="000000" w:fill="00B050"/>
            <w:noWrap/>
            <w:vAlign w:val="center"/>
            <w:hideMark/>
          </w:tcPr>
          <w:p w14:paraId="757EE602"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56.2%</w:t>
            </w:r>
          </w:p>
        </w:tc>
        <w:tc>
          <w:tcPr>
            <w:tcW w:w="242" w:type="pct"/>
            <w:tcBorders>
              <w:top w:val="nil"/>
              <w:left w:val="nil"/>
              <w:bottom w:val="single" w:sz="4" w:space="0" w:color="auto"/>
              <w:right w:val="single" w:sz="4" w:space="0" w:color="auto"/>
            </w:tcBorders>
            <w:shd w:val="clear" w:color="000000" w:fill="00B050"/>
            <w:noWrap/>
            <w:vAlign w:val="center"/>
            <w:hideMark/>
          </w:tcPr>
          <w:p w14:paraId="204AC38E"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66.4%</w:t>
            </w:r>
          </w:p>
        </w:tc>
        <w:tc>
          <w:tcPr>
            <w:tcW w:w="242" w:type="pct"/>
            <w:tcBorders>
              <w:top w:val="nil"/>
              <w:left w:val="nil"/>
              <w:bottom w:val="single" w:sz="4" w:space="0" w:color="auto"/>
              <w:right w:val="single" w:sz="4" w:space="0" w:color="auto"/>
            </w:tcBorders>
            <w:shd w:val="clear" w:color="000000" w:fill="00B050"/>
            <w:noWrap/>
            <w:vAlign w:val="center"/>
            <w:hideMark/>
          </w:tcPr>
          <w:p w14:paraId="6F3CD68E"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78.2%</w:t>
            </w:r>
          </w:p>
        </w:tc>
        <w:tc>
          <w:tcPr>
            <w:tcW w:w="242" w:type="pct"/>
            <w:tcBorders>
              <w:top w:val="nil"/>
              <w:left w:val="nil"/>
              <w:bottom w:val="single" w:sz="4" w:space="0" w:color="auto"/>
              <w:right w:val="single" w:sz="4" w:space="0" w:color="auto"/>
            </w:tcBorders>
            <w:shd w:val="clear" w:color="000000" w:fill="00B050"/>
            <w:noWrap/>
            <w:vAlign w:val="center"/>
            <w:hideMark/>
          </w:tcPr>
          <w:p w14:paraId="0BFFF9BA"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84.5%</w:t>
            </w:r>
          </w:p>
        </w:tc>
      </w:tr>
      <w:tr w:rsidR="008A6BBC" w:rsidRPr="00201501" w14:paraId="1045ABF4" w14:textId="77777777" w:rsidTr="005A1CEA">
        <w:trPr>
          <w:trHeight w:val="370"/>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2F9261D2" w14:textId="77777777" w:rsidR="008A6BBC" w:rsidRPr="00774E29" w:rsidRDefault="008A6BBC" w:rsidP="005A1CEA">
            <w:pPr>
              <w:spacing w:after="0" w:line="240" w:lineRule="auto"/>
              <w:rPr>
                <w:rFonts w:eastAsia="Times New Roman" w:cstheme="minorHAnsi"/>
                <w:color w:val="000000"/>
                <w:sz w:val="18"/>
                <w:szCs w:val="14"/>
              </w:rPr>
            </w:pPr>
            <w:r w:rsidRPr="00774E29">
              <w:rPr>
                <w:rFonts w:eastAsia="Times New Roman" w:cstheme="minorHAnsi"/>
                <w:color w:val="000000"/>
                <w:sz w:val="18"/>
                <w:szCs w:val="14"/>
              </w:rPr>
              <w:t>RES-T (%) (without multipliers)</w:t>
            </w:r>
          </w:p>
        </w:tc>
        <w:tc>
          <w:tcPr>
            <w:tcW w:w="242" w:type="pct"/>
            <w:tcBorders>
              <w:top w:val="nil"/>
              <w:left w:val="nil"/>
              <w:bottom w:val="single" w:sz="4" w:space="0" w:color="auto"/>
              <w:right w:val="single" w:sz="4" w:space="0" w:color="auto"/>
            </w:tcBorders>
            <w:shd w:val="clear" w:color="auto" w:fill="auto"/>
            <w:noWrap/>
            <w:vAlign w:val="center"/>
            <w:hideMark/>
          </w:tcPr>
          <w:p w14:paraId="1DBF8BD5"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0.0%</w:t>
            </w:r>
          </w:p>
        </w:tc>
        <w:tc>
          <w:tcPr>
            <w:tcW w:w="242" w:type="pct"/>
            <w:tcBorders>
              <w:top w:val="nil"/>
              <w:left w:val="nil"/>
              <w:bottom w:val="single" w:sz="4" w:space="0" w:color="auto"/>
              <w:right w:val="single" w:sz="4" w:space="0" w:color="auto"/>
            </w:tcBorders>
            <w:shd w:val="clear" w:color="auto" w:fill="auto"/>
            <w:noWrap/>
            <w:vAlign w:val="center"/>
            <w:hideMark/>
          </w:tcPr>
          <w:p w14:paraId="58643C59"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0.0%</w:t>
            </w:r>
          </w:p>
        </w:tc>
        <w:tc>
          <w:tcPr>
            <w:tcW w:w="242" w:type="pct"/>
            <w:tcBorders>
              <w:top w:val="nil"/>
              <w:left w:val="nil"/>
              <w:bottom w:val="single" w:sz="4" w:space="0" w:color="auto"/>
              <w:right w:val="single" w:sz="4" w:space="0" w:color="auto"/>
            </w:tcBorders>
            <w:shd w:val="clear" w:color="auto" w:fill="auto"/>
            <w:noWrap/>
            <w:vAlign w:val="center"/>
            <w:hideMark/>
          </w:tcPr>
          <w:p w14:paraId="186C1799"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0.0%</w:t>
            </w:r>
          </w:p>
        </w:tc>
        <w:tc>
          <w:tcPr>
            <w:tcW w:w="242" w:type="pct"/>
            <w:tcBorders>
              <w:top w:val="nil"/>
              <w:left w:val="nil"/>
              <w:bottom w:val="single" w:sz="4" w:space="0" w:color="auto"/>
              <w:right w:val="single" w:sz="4" w:space="0" w:color="auto"/>
            </w:tcBorders>
            <w:shd w:val="clear" w:color="auto" w:fill="auto"/>
            <w:noWrap/>
            <w:vAlign w:val="center"/>
            <w:hideMark/>
          </w:tcPr>
          <w:p w14:paraId="05D20654"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0.0%</w:t>
            </w:r>
          </w:p>
        </w:tc>
        <w:tc>
          <w:tcPr>
            <w:tcW w:w="242" w:type="pct"/>
            <w:tcBorders>
              <w:top w:val="nil"/>
              <w:left w:val="nil"/>
              <w:bottom w:val="single" w:sz="4" w:space="0" w:color="auto"/>
              <w:right w:val="single" w:sz="4" w:space="0" w:color="auto"/>
            </w:tcBorders>
            <w:shd w:val="clear" w:color="auto" w:fill="auto"/>
            <w:noWrap/>
            <w:vAlign w:val="center"/>
            <w:hideMark/>
          </w:tcPr>
          <w:p w14:paraId="65496B67"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1.3%</w:t>
            </w:r>
          </w:p>
        </w:tc>
        <w:tc>
          <w:tcPr>
            <w:tcW w:w="242" w:type="pct"/>
            <w:tcBorders>
              <w:top w:val="nil"/>
              <w:left w:val="nil"/>
              <w:bottom w:val="single" w:sz="4" w:space="0" w:color="auto"/>
              <w:right w:val="single" w:sz="4" w:space="0" w:color="auto"/>
            </w:tcBorders>
            <w:shd w:val="clear" w:color="auto" w:fill="auto"/>
            <w:noWrap/>
            <w:vAlign w:val="center"/>
            <w:hideMark/>
          </w:tcPr>
          <w:p w14:paraId="4CAA32AC"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2.4%</w:t>
            </w:r>
          </w:p>
        </w:tc>
        <w:tc>
          <w:tcPr>
            <w:tcW w:w="242" w:type="pct"/>
            <w:tcBorders>
              <w:top w:val="nil"/>
              <w:left w:val="nil"/>
              <w:bottom w:val="single" w:sz="4" w:space="0" w:color="auto"/>
              <w:right w:val="single" w:sz="4" w:space="0" w:color="auto"/>
            </w:tcBorders>
            <w:shd w:val="clear" w:color="auto" w:fill="auto"/>
            <w:noWrap/>
            <w:vAlign w:val="center"/>
            <w:hideMark/>
          </w:tcPr>
          <w:p w14:paraId="3866CBAC"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2.5%</w:t>
            </w:r>
          </w:p>
        </w:tc>
        <w:tc>
          <w:tcPr>
            <w:tcW w:w="242" w:type="pct"/>
            <w:tcBorders>
              <w:top w:val="nil"/>
              <w:left w:val="nil"/>
              <w:bottom w:val="single" w:sz="4" w:space="0" w:color="auto"/>
              <w:right w:val="single" w:sz="4" w:space="0" w:color="auto"/>
            </w:tcBorders>
            <w:shd w:val="clear" w:color="auto" w:fill="auto"/>
            <w:noWrap/>
            <w:vAlign w:val="center"/>
            <w:hideMark/>
          </w:tcPr>
          <w:p w14:paraId="5AA0617F"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3.7%</w:t>
            </w:r>
          </w:p>
        </w:tc>
        <w:tc>
          <w:tcPr>
            <w:tcW w:w="242" w:type="pct"/>
            <w:tcBorders>
              <w:top w:val="nil"/>
              <w:left w:val="nil"/>
              <w:bottom w:val="single" w:sz="4" w:space="0" w:color="auto"/>
              <w:right w:val="single" w:sz="4" w:space="0" w:color="auto"/>
            </w:tcBorders>
            <w:shd w:val="clear" w:color="auto" w:fill="auto"/>
            <w:noWrap/>
            <w:vAlign w:val="center"/>
            <w:hideMark/>
          </w:tcPr>
          <w:p w14:paraId="55C92113"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4.5%</w:t>
            </w:r>
          </w:p>
        </w:tc>
        <w:tc>
          <w:tcPr>
            <w:tcW w:w="242" w:type="pct"/>
            <w:tcBorders>
              <w:top w:val="nil"/>
              <w:left w:val="nil"/>
              <w:bottom w:val="single" w:sz="4" w:space="0" w:color="auto"/>
              <w:right w:val="single" w:sz="4" w:space="0" w:color="auto"/>
            </w:tcBorders>
            <w:shd w:val="clear" w:color="auto" w:fill="auto"/>
            <w:noWrap/>
            <w:vAlign w:val="center"/>
            <w:hideMark/>
          </w:tcPr>
          <w:p w14:paraId="2006AAE0"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5.1%</w:t>
            </w:r>
          </w:p>
        </w:tc>
        <w:tc>
          <w:tcPr>
            <w:tcW w:w="242" w:type="pct"/>
            <w:tcBorders>
              <w:top w:val="nil"/>
              <w:left w:val="nil"/>
              <w:bottom w:val="single" w:sz="4" w:space="0" w:color="auto"/>
              <w:right w:val="single" w:sz="4" w:space="0" w:color="auto"/>
            </w:tcBorders>
            <w:shd w:val="clear" w:color="auto" w:fill="auto"/>
            <w:noWrap/>
            <w:vAlign w:val="center"/>
            <w:hideMark/>
          </w:tcPr>
          <w:p w14:paraId="3AD6061A"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5.9%</w:t>
            </w:r>
          </w:p>
        </w:tc>
        <w:tc>
          <w:tcPr>
            <w:tcW w:w="242" w:type="pct"/>
            <w:tcBorders>
              <w:top w:val="nil"/>
              <w:left w:val="nil"/>
              <w:bottom w:val="single" w:sz="4" w:space="0" w:color="auto"/>
              <w:right w:val="single" w:sz="4" w:space="0" w:color="auto"/>
            </w:tcBorders>
            <w:shd w:val="clear" w:color="auto" w:fill="auto"/>
            <w:noWrap/>
            <w:vAlign w:val="center"/>
            <w:hideMark/>
          </w:tcPr>
          <w:p w14:paraId="3FB4EC29"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6.8%</w:t>
            </w:r>
          </w:p>
        </w:tc>
        <w:tc>
          <w:tcPr>
            <w:tcW w:w="242" w:type="pct"/>
            <w:tcBorders>
              <w:top w:val="nil"/>
              <w:left w:val="nil"/>
              <w:bottom w:val="single" w:sz="4" w:space="0" w:color="auto"/>
              <w:right w:val="single" w:sz="4" w:space="0" w:color="auto"/>
            </w:tcBorders>
            <w:shd w:val="clear" w:color="auto" w:fill="auto"/>
            <w:noWrap/>
            <w:vAlign w:val="center"/>
            <w:hideMark/>
          </w:tcPr>
          <w:p w14:paraId="1AD4BD22"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7.6%</w:t>
            </w:r>
          </w:p>
        </w:tc>
        <w:tc>
          <w:tcPr>
            <w:tcW w:w="242" w:type="pct"/>
            <w:tcBorders>
              <w:top w:val="nil"/>
              <w:left w:val="nil"/>
              <w:bottom w:val="single" w:sz="4" w:space="0" w:color="auto"/>
              <w:right w:val="single" w:sz="4" w:space="0" w:color="auto"/>
            </w:tcBorders>
            <w:shd w:val="clear" w:color="auto" w:fill="auto"/>
            <w:noWrap/>
            <w:vAlign w:val="center"/>
            <w:hideMark/>
          </w:tcPr>
          <w:p w14:paraId="6E688BD4"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13.8%</w:t>
            </w:r>
          </w:p>
        </w:tc>
        <w:tc>
          <w:tcPr>
            <w:tcW w:w="242" w:type="pct"/>
            <w:tcBorders>
              <w:top w:val="nil"/>
              <w:left w:val="nil"/>
              <w:bottom w:val="single" w:sz="4" w:space="0" w:color="auto"/>
              <w:right w:val="single" w:sz="4" w:space="0" w:color="auto"/>
            </w:tcBorders>
            <w:shd w:val="clear" w:color="auto" w:fill="auto"/>
            <w:noWrap/>
            <w:vAlign w:val="center"/>
            <w:hideMark/>
          </w:tcPr>
          <w:p w14:paraId="3BC932FC"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23.7%</w:t>
            </w:r>
          </w:p>
        </w:tc>
        <w:tc>
          <w:tcPr>
            <w:tcW w:w="242" w:type="pct"/>
            <w:tcBorders>
              <w:top w:val="nil"/>
              <w:left w:val="nil"/>
              <w:bottom w:val="single" w:sz="4" w:space="0" w:color="auto"/>
              <w:right w:val="single" w:sz="4" w:space="0" w:color="auto"/>
            </w:tcBorders>
            <w:shd w:val="clear" w:color="auto" w:fill="auto"/>
            <w:noWrap/>
            <w:vAlign w:val="center"/>
            <w:hideMark/>
          </w:tcPr>
          <w:p w14:paraId="30B5C7D6"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30.2%</w:t>
            </w:r>
          </w:p>
        </w:tc>
        <w:tc>
          <w:tcPr>
            <w:tcW w:w="242" w:type="pct"/>
            <w:tcBorders>
              <w:top w:val="nil"/>
              <w:left w:val="nil"/>
              <w:bottom w:val="single" w:sz="4" w:space="0" w:color="auto"/>
              <w:right w:val="single" w:sz="4" w:space="0" w:color="auto"/>
            </w:tcBorders>
            <w:shd w:val="clear" w:color="auto" w:fill="auto"/>
            <w:noWrap/>
            <w:vAlign w:val="center"/>
            <w:hideMark/>
          </w:tcPr>
          <w:p w14:paraId="48C031DC"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35.9%</w:t>
            </w:r>
          </w:p>
        </w:tc>
      </w:tr>
      <w:tr w:rsidR="008A6BBC" w:rsidRPr="00201501" w14:paraId="2E9348FB" w14:textId="77777777" w:rsidTr="005A1CEA">
        <w:trPr>
          <w:trHeight w:val="370"/>
        </w:trPr>
        <w:tc>
          <w:tcPr>
            <w:tcW w:w="881" w:type="pct"/>
            <w:tcBorders>
              <w:top w:val="nil"/>
              <w:left w:val="single" w:sz="4" w:space="0" w:color="auto"/>
              <w:bottom w:val="single" w:sz="4" w:space="0" w:color="auto"/>
              <w:right w:val="single" w:sz="4" w:space="0" w:color="auto"/>
            </w:tcBorders>
            <w:shd w:val="clear" w:color="auto" w:fill="auto"/>
            <w:noWrap/>
            <w:vAlign w:val="center"/>
            <w:hideMark/>
          </w:tcPr>
          <w:p w14:paraId="5BE259C0" w14:textId="77777777" w:rsidR="008A6BBC" w:rsidRPr="00774E29" w:rsidRDefault="008A6BBC" w:rsidP="005A1CEA">
            <w:pPr>
              <w:spacing w:after="0" w:line="240" w:lineRule="auto"/>
              <w:rPr>
                <w:rFonts w:eastAsia="Times New Roman" w:cstheme="minorHAnsi"/>
                <w:color w:val="000000"/>
                <w:sz w:val="18"/>
                <w:szCs w:val="14"/>
              </w:rPr>
            </w:pPr>
            <w:r w:rsidRPr="00774E29">
              <w:rPr>
                <w:rFonts w:eastAsia="Times New Roman" w:cstheme="minorHAnsi"/>
                <w:color w:val="000000"/>
                <w:sz w:val="18"/>
                <w:szCs w:val="14"/>
              </w:rPr>
              <w:t>RES-T (%) (with multipliers)</w:t>
            </w:r>
          </w:p>
        </w:tc>
        <w:tc>
          <w:tcPr>
            <w:tcW w:w="242" w:type="pct"/>
            <w:tcBorders>
              <w:top w:val="nil"/>
              <w:left w:val="nil"/>
              <w:bottom w:val="single" w:sz="4" w:space="0" w:color="auto"/>
              <w:right w:val="single" w:sz="4" w:space="0" w:color="auto"/>
            </w:tcBorders>
            <w:shd w:val="clear" w:color="auto" w:fill="auto"/>
            <w:noWrap/>
            <w:vAlign w:val="center"/>
            <w:hideMark/>
          </w:tcPr>
          <w:p w14:paraId="1599F7BD"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0.0%</w:t>
            </w:r>
          </w:p>
        </w:tc>
        <w:tc>
          <w:tcPr>
            <w:tcW w:w="242" w:type="pct"/>
            <w:tcBorders>
              <w:top w:val="nil"/>
              <w:left w:val="nil"/>
              <w:bottom w:val="single" w:sz="4" w:space="0" w:color="auto"/>
              <w:right w:val="single" w:sz="4" w:space="0" w:color="auto"/>
            </w:tcBorders>
            <w:shd w:val="clear" w:color="auto" w:fill="auto"/>
            <w:noWrap/>
            <w:vAlign w:val="center"/>
            <w:hideMark/>
          </w:tcPr>
          <w:p w14:paraId="4EC1D118"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0.0%</w:t>
            </w:r>
          </w:p>
        </w:tc>
        <w:tc>
          <w:tcPr>
            <w:tcW w:w="242" w:type="pct"/>
            <w:tcBorders>
              <w:top w:val="nil"/>
              <w:left w:val="nil"/>
              <w:bottom w:val="single" w:sz="4" w:space="0" w:color="auto"/>
              <w:right w:val="single" w:sz="4" w:space="0" w:color="auto"/>
            </w:tcBorders>
            <w:shd w:val="clear" w:color="auto" w:fill="auto"/>
            <w:noWrap/>
            <w:vAlign w:val="center"/>
            <w:hideMark/>
          </w:tcPr>
          <w:p w14:paraId="7C7F71D6"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0.0%</w:t>
            </w:r>
          </w:p>
        </w:tc>
        <w:tc>
          <w:tcPr>
            <w:tcW w:w="242" w:type="pct"/>
            <w:tcBorders>
              <w:top w:val="nil"/>
              <w:left w:val="nil"/>
              <w:bottom w:val="single" w:sz="4" w:space="0" w:color="auto"/>
              <w:right w:val="single" w:sz="4" w:space="0" w:color="auto"/>
            </w:tcBorders>
            <w:shd w:val="clear" w:color="auto" w:fill="auto"/>
            <w:noWrap/>
            <w:vAlign w:val="center"/>
            <w:hideMark/>
          </w:tcPr>
          <w:p w14:paraId="403F2311"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0.0%</w:t>
            </w:r>
          </w:p>
        </w:tc>
        <w:tc>
          <w:tcPr>
            <w:tcW w:w="242" w:type="pct"/>
            <w:tcBorders>
              <w:top w:val="nil"/>
              <w:left w:val="nil"/>
              <w:bottom w:val="single" w:sz="4" w:space="0" w:color="auto"/>
              <w:right w:val="single" w:sz="4" w:space="0" w:color="auto"/>
            </w:tcBorders>
            <w:shd w:val="clear" w:color="auto" w:fill="auto"/>
            <w:noWrap/>
            <w:vAlign w:val="center"/>
            <w:hideMark/>
          </w:tcPr>
          <w:p w14:paraId="5131149F"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1.3%</w:t>
            </w:r>
          </w:p>
        </w:tc>
        <w:tc>
          <w:tcPr>
            <w:tcW w:w="242" w:type="pct"/>
            <w:tcBorders>
              <w:top w:val="nil"/>
              <w:left w:val="nil"/>
              <w:bottom w:val="single" w:sz="4" w:space="0" w:color="auto"/>
              <w:right w:val="single" w:sz="4" w:space="0" w:color="auto"/>
            </w:tcBorders>
            <w:shd w:val="clear" w:color="auto" w:fill="auto"/>
            <w:noWrap/>
            <w:vAlign w:val="center"/>
            <w:hideMark/>
          </w:tcPr>
          <w:p w14:paraId="62F1029C"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2.4%</w:t>
            </w:r>
          </w:p>
        </w:tc>
        <w:tc>
          <w:tcPr>
            <w:tcW w:w="242" w:type="pct"/>
            <w:tcBorders>
              <w:top w:val="nil"/>
              <w:left w:val="nil"/>
              <w:bottom w:val="single" w:sz="4" w:space="0" w:color="auto"/>
              <w:right w:val="single" w:sz="4" w:space="0" w:color="auto"/>
            </w:tcBorders>
            <w:shd w:val="clear" w:color="auto" w:fill="auto"/>
            <w:noWrap/>
            <w:vAlign w:val="center"/>
            <w:hideMark/>
          </w:tcPr>
          <w:p w14:paraId="52FDF542"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2.6%</w:t>
            </w:r>
          </w:p>
        </w:tc>
        <w:tc>
          <w:tcPr>
            <w:tcW w:w="242" w:type="pct"/>
            <w:tcBorders>
              <w:top w:val="nil"/>
              <w:left w:val="nil"/>
              <w:bottom w:val="single" w:sz="4" w:space="0" w:color="auto"/>
              <w:right w:val="single" w:sz="4" w:space="0" w:color="auto"/>
            </w:tcBorders>
            <w:shd w:val="clear" w:color="auto" w:fill="auto"/>
            <w:noWrap/>
            <w:vAlign w:val="center"/>
            <w:hideMark/>
          </w:tcPr>
          <w:p w14:paraId="73B6D5F7"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4.1%</w:t>
            </w:r>
          </w:p>
        </w:tc>
        <w:tc>
          <w:tcPr>
            <w:tcW w:w="242" w:type="pct"/>
            <w:tcBorders>
              <w:top w:val="nil"/>
              <w:left w:val="nil"/>
              <w:bottom w:val="single" w:sz="4" w:space="0" w:color="auto"/>
              <w:right w:val="single" w:sz="4" w:space="0" w:color="auto"/>
            </w:tcBorders>
            <w:shd w:val="clear" w:color="auto" w:fill="auto"/>
            <w:noWrap/>
            <w:vAlign w:val="center"/>
            <w:hideMark/>
          </w:tcPr>
          <w:p w14:paraId="483B61A3"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5.0%</w:t>
            </w:r>
          </w:p>
        </w:tc>
        <w:tc>
          <w:tcPr>
            <w:tcW w:w="242" w:type="pct"/>
            <w:tcBorders>
              <w:top w:val="nil"/>
              <w:left w:val="nil"/>
              <w:bottom w:val="single" w:sz="4" w:space="0" w:color="auto"/>
              <w:right w:val="single" w:sz="4" w:space="0" w:color="auto"/>
            </w:tcBorders>
            <w:shd w:val="clear" w:color="auto" w:fill="auto"/>
            <w:noWrap/>
            <w:vAlign w:val="center"/>
            <w:hideMark/>
          </w:tcPr>
          <w:p w14:paraId="291D7C43"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5.5%</w:t>
            </w:r>
          </w:p>
        </w:tc>
        <w:tc>
          <w:tcPr>
            <w:tcW w:w="242" w:type="pct"/>
            <w:tcBorders>
              <w:top w:val="nil"/>
              <w:left w:val="nil"/>
              <w:bottom w:val="single" w:sz="4" w:space="0" w:color="auto"/>
              <w:right w:val="single" w:sz="4" w:space="0" w:color="auto"/>
            </w:tcBorders>
            <w:shd w:val="clear" w:color="auto" w:fill="auto"/>
            <w:noWrap/>
            <w:vAlign w:val="center"/>
            <w:hideMark/>
          </w:tcPr>
          <w:p w14:paraId="6B34EC35"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6.6%</w:t>
            </w:r>
          </w:p>
        </w:tc>
        <w:tc>
          <w:tcPr>
            <w:tcW w:w="242" w:type="pct"/>
            <w:tcBorders>
              <w:top w:val="nil"/>
              <w:left w:val="nil"/>
              <w:bottom w:val="single" w:sz="4" w:space="0" w:color="auto"/>
              <w:right w:val="single" w:sz="4" w:space="0" w:color="auto"/>
            </w:tcBorders>
            <w:shd w:val="clear" w:color="auto" w:fill="auto"/>
            <w:noWrap/>
            <w:vAlign w:val="center"/>
            <w:hideMark/>
          </w:tcPr>
          <w:p w14:paraId="68568D3C"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7.7%</w:t>
            </w:r>
          </w:p>
        </w:tc>
        <w:tc>
          <w:tcPr>
            <w:tcW w:w="242" w:type="pct"/>
            <w:tcBorders>
              <w:top w:val="nil"/>
              <w:left w:val="nil"/>
              <w:bottom w:val="single" w:sz="4" w:space="0" w:color="auto"/>
              <w:right w:val="single" w:sz="4" w:space="0" w:color="auto"/>
            </w:tcBorders>
            <w:shd w:val="clear" w:color="auto" w:fill="auto"/>
            <w:noWrap/>
            <w:vAlign w:val="center"/>
            <w:hideMark/>
          </w:tcPr>
          <w:p w14:paraId="5B752ADC"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8.9%</w:t>
            </w:r>
          </w:p>
        </w:tc>
        <w:tc>
          <w:tcPr>
            <w:tcW w:w="242" w:type="pct"/>
            <w:tcBorders>
              <w:top w:val="nil"/>
              <w:left w:val="nil"/>
              <w:bottom w:val="single" w:sz="4" w:space="0" w:color="auto"/>
              <w:right w:val="single" w:sz="4" w:space="0" w:color="auto"/>
            </w:tcBorders>
            <w:shd w:val="clear" w:color="auto" w:fill="auto"/>
            <w:noWrap/>
            <w:vAlign w:val="center"/>
            <w:hideMark/>
          </w:tcPr>
          <w:p w14:paraId="38FA21A0"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20.9%</w:t>
            </w:r>
          </w:p>
        </w:tc>
        <w:tc>
          <w:tcPr>
            <w:tcW w:w="242" w:type="pct"/>
            <w:tcBorders>
              <w:top w:val="nil"/>
              <w:left w:val="nil"/>
              <w:bottom w:val="single" w:sz="4" w:space="0" w:color="auto"/>
              <w:right w:val="single" w:sz="4" w:space="0" w:color="auto"/>
            </w:tcBorders>
            <w:shd w:val="clear" w:color="auto" w:fill="auto"/>
            <w:noWrap/>
            <w:vAlign w:val="center"/>
            <w:hideMark/>
          </w:tcPr>
          <w:p w14:paraId="6EE8B995"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38.3%</w:t>
            </w:r>
          </w:p>
        </w:tc>
        <w:tc>
          <w:tcPr>
            <w:tcW w:w="242" w:type="pct"/>
            <w:tcBorders>
              <w:top w:val="nil"/>
              <w:left w:val="nil"/>
              <w:bottom w:val="single" w:sz="4" w:space="0" w:color="auto"/>
              <w:right w:val="single" w:sz="4" w:space="0" w:color="auto"/>
            </w:tcBorders>
            <w:shd w:val="clear" w:color="auto" w:fill="auto"/>
            <w:noWrap/>
            <w:vAlign w:val="center"/>
            <w:hideMark/>
          </w:tcPr>
          <w:p w14:paraId="71248DC0"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48.0%</w:t>
            </w:r>
          </w:p>
        </w:tc>
        <w:tc>
          <w:tcPr>
            <w:tcW w:w="242" w:type="pct"/>
            <w:tcBorders>
              <w:top w:val="nil"/>
              <w:left w:val="nil"/>
              <w:bottom w:val="single" w:sz="4" w:space="0" w:color="auto"/>
              <w:right w:val="single" w:sz="4" w:space="0" w:color="auto"/>
            </w:tcBorders>
            <w:shd w:val="clear" w:color="auto" w:fill="auto"/>
            <w:noWrap/>
            <w:vAlign w:val="center"/>
            <w:hideMark/>
          </w:tcPr>
          <w:p w14:paraId="225EEC13" w14:textId="77777777" w:rsidR="008A6BBC" w:rsidRPr="00774E29" w:rsidRDefault="008A6BBC" w:rsidP="005A1CEA">
            <w:pPr>
              <w:spacing w:after="0" w:line="240" w:lineRule="auto"/>
              <w:jc w:val="center"/>
              <w:rPr>
                <w:rFonts w:eastAsia="Times New Roman" w:cstheme="minorHAnsi"/>
                <w:color w:val="000000"/>
                <w:sz w:val="18"/>
                <w:szCs w:val="14"/>
              </w:rPr>
            </w:pPr>
            <w:r w:rsidRPr="00774E29">
              <w:rPr>
                <w:rFonts w:eastAsia="Times New Roman" w:cstheme="minorHAnsi"/>
                <w:color w:val="000000"/>
                <w:sz w:val="18"/>
                <w:szCs w:val="14"/>
              </w:rPr>
              <w:t>55.6%</w:t>
            </w:r>
          </w:p>
        </w:tc>
      </w:tr>
      <w:tr w:rsidR="008A6BBC" w:rsidRPr="00201501" w14:paraId="0FD4C2D6" w14:textId="77777777" w:rsidTr="005A1CEA">
        <w:trPr>
          <w:trHeight w:val="370"/>
        </w:trPr>
        <w:tc>
          <w:tcPr>
            <w:tcW w:w="881" w:type="pct"/>
            <w:tcBorders>
              <w:top w:val="nil"/>
              <w:left w:val="single" w:sz="4" w:space="0" w:color="auto"/>
              <w:bottom w:val="single" w:sz="4" w:space="0" w:color="auto"/>
              <w:right w:val="single" w:sz="4" w:space="0" w:color="auto"/>
            </w:tcBorders>
            <w:shd w:val="clear" w:color="000000" w:fill="00B050"/>
            <w:noWrap/>
            <w:vAlign w:val="center"/>
            <w:hideMark/>
          </w:tcPr>
          <w:p w14:paraId="636381E0" w14:textId="77777777" w:rsidR="008A6BBC" w:rsidRPr="00774E29" w:rsidRDefault="008A6BBC" w:rsidP="005A1CEA">
            <w:pPr>
              <w:spacing w:after="0" w:line="240" w:lineRule="auto"/>
              <w:rPr>
                <w:rFonts w:eastAsia="Times New Roman" w:cstheme="minorHAnsi"/>
                <w:b/>
                <w:bCs/>
                <w:color w:val="FFFFFF"/>
                <w:sz w:val="18"/>
                <w:szCs w:val="14"/>
              </w:rPr>
            </w:pPr>
            <w:r w:rsidRPr="00774E29">
              <w:rPr>
                <w:rFonts w:eastAsia="Times New Roman" w:cstheme="minorHAnsi"/>
                <w:b/>
                <w:bCs/>
                <w:color w:val="FFFFFF"/>
                <w:sz w:val="18"/>
                <w:szCs w:val="14"/>
              </w:rPr>
              <w:t xml:space="preserve">Overall RES share (%) </w:t>
            </w:r>
          </w:p>
        </w:tc>
        <w:tc>
          <w:tcPr>
            <w:tcW w:w="242" w:type="pct"/>
            <w:tcBorders>
              <w:top w:val="nil"/>
              <w:left w:val="nil"/>
              <w:bottom w:val="single" w:sz="4" w:space="0" w:color="auto"/>
              <w:right w:val="single" w:sz="4" w:space="0" w:color="auto"/>
            </w:tcBorders>
            <w:shd w:val="clear" w:color="000000" w:fill="00B050"/>
            <w:noWrap/>
            <w:vAlign w:val="center"/>
            <w:hideMark/>
          </w:tcPr>
          <w:p w14:paraId="7B7A4D28"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26.6%</w:t>
            </w:r>
          </w:p>
        </w:tc>
        <w:tc>
          <w:tcPr>
            <w:tcW w:w="242" w:type="pct"/>
            <w:tcBorders>
              <w:top w:val="nil"/>
              <w:left w:val="nil"/>
              <w:bottom w:val="single" w:sz="4" w:space="0" w:color="auto"/>
              <w:right w:val="single" w:sz="4" w:space="0" w:color="auto"/>
            </w:tcBorders>
            <w:shd w:val="clear" w:color="000000" w:fill="00B050"/>
            <w:noWrap/>
            <w:vAlign w:val="center"/>
            <w:hideMark/>
          </w:tcPr>
          <w:p w14:paraId="1DEEEF1F"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26.4%</w:t>
            </w:r>
          </w:p>
        </w:tc>
        <w:tc>
          <w:tcPr>
            <w:tcW w:w="242" w:type="pct"/>
            <w:tcBorders>
              <w:top w:val="nil"/>
              <w:left w:val="nil"/>
              <w:bottom w:val="single" w:sz="4" w:space="0" w:color="auto"/>
              <w:right w:val="single" w:sz="4" w:space="0" w:color="auto"/>
            </w:tcBorders>
            <w:shd w:val="clear" w:color="000000" w:fill="00B050"/>
            <w:noWrap/>
            <w:vAlign w:val="center"/>
            <w:hideMark/>
          </w:tcPr>
          <w:p w14:paraId="725827D7"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24.2%</w:t>
            </w:r>
          </w:p>
        </w:tc>
        <w:tc>
          <w:tcPr>
            <w:tcW w:w="242" w:type="pct"/>
            <w:tcBorders>
              <w:top w:val="nil"/>
              <w:left w:val="nil"/>
              <w:bottom w:val="single" w:sz="4" w:space="0" w:color="auto"/>
              <w:right w:val="single" w:sz="4" w:space="0" w:color="auto"/>
            </w:tcBorders>
            <w:shd w:val="clear" w:color="000000" w:fill="00B050"/>
            <w:noWrap/>
            <w:vAlign w:val="center"/>
            <w:hideMark/>
          </w:tcPr>
          <w:p w14:paraId="3AFD4A0F"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24.2%</w:t>
            </w:r>
          </w:p>
        </w:tc>
        <w:tc>
          <w:tcPr>
            <w:tcW w:w="242" w:type="pct"/>
            <w:tcBorders>
              <w:top w:val="nil"/>
              <w:left w:val="nil"/>
              <w:bottom w:val="single" w:sz="4" w:space="0" w:color="auto"/>
              <w:right w:val="single" w:sz="4" w:space="0" w:color="auto"/>
            </w:tcBorders>
            <w:shd w:val="clear" w:color="000000" w:fill="00B050"/>
            <w:noWrap/>
            <w:vAlign w:val="center"/>
            <w:hideMark/>
          </w:tcPr>
          <w:p w14:paraId="220EEB1B"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24.3%</w:t>
            </w:r>
          </w:p>
        </w:tc>
        <w:tc>
          <w:tcPr>
            <w:tcW w:w="242" w:type="pct"/>
            <w:tcBorders>
              <w:top w:val="nil"/>
              <w:left w:val="nil"/>
              <w:bottom w:val="single" w:sz="4" w:space="0" w:color="auto"/>
              <w:right w:val="single" w:sz="4" w:space="0" w:color="auto"/>
            </w:tcBorders>
            <w:shd w:val="clear" w:color="000000" w:fill="00B050"/>
            <w:noWrap/>
            <w:vAlign w:val="center"/>
            <w:hideMark/>
          </w:tcPr>
          <w:p w14:paraId="315E337E"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25.3%</w:t>
            </w:r>
          </w:p>
        </w:tc>
        <w:tc>
          <w:tcPr>
            <w:tcW w:w="242" w:type="pct"/>
            <w:tcBorders>
              <w:top w:val="nil"/>
              <w:left w:val="nil"/>
              <w:bottom w:val="single" w:sz="4" w:space="0" w:color="auto"/>
              <w:right w:val="single" w:sz="4" w:space="0" w:color="auto"/>
            </w:tcBorders>
            <w:shd w:val="clear" w:color="000000" w:fill="00B050"/>
            <w:noWrap/>
            <w:vAlign w:val="center"/>
            <w:hideMark/>
          </w:tcPr>
          <w:p w14:paraId="05EA2399"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25.2%</w:t>
            </w:r>
          </w:p>
        </w:tc>
        <w:tc>
          <w:tcPr>
            <w:tcW w:w="242" w:type="pct"/>
            <w:tcBorders>
              <w:top w:val="nil"/>
              <w:left w:val="nil"/>
              <w:bottom w:val="single" w:sz="4" w:space="0" w:color="auto"/>
              <w:right w:val="single" w:sz="4" w:space="0" w:color="auto"/>
            </w:tcBorders>
            <w:shd w:val="clear" w:color="000000" w:fill="00B050"/>
            <w:noWrap/>
            <w:vAlign w:val="center"/>
            <w:hideMark/>
          </w:tcPr>
          <w:p w14:paraId="02644841"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26.3%</w:t>
            </w:r>
          </w:p>
        </w:tc>
        <w:tc>
          <w:tcPr>
            <w:tcW w:w="242" w:type="pct"/>
            <w:tcBorders>
              <w:top w:val="nil"/>
              <w:left w:val="nil"/>
              <w:bottom w:val="single" w:sz="4" w:space="0" w:color="auto"/>
              <w:right w:val="single" w:sz="4" w:space="0" w:color="auto"/>
            </w:tcBorders>
            <w:shd w:val="clear" w:color="000000" w:fill="00B050"/>
            <w:noWrap/>
            <w:vAlign w:val="center"/>
            <w:hideMark/>
          </w:tcPr>
          <w:p w14:paraId="5C348468"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27.2%</w:t>
            </w:r>
          </w:p>
        </w:tc>
        <w:tc>
          <w:tcPr>
            <w:tcW w:w="242" w:type="pct"/>
            <w:tcBorders>
              <w:top w:val="nil"/>
              <w:left w:val="nil"/>
              <w:bottom w:val="single" w:sz="4" w:space="0" w:color="auto"/>
              <w:right w:val="single" w:sz="4" w:space="0" w:color="auto"/>
            </w:tcBorders>
            <w:shd w:val="clear" w:color="000000" w:fill="00B050"/>
            <w:noWrap/>
            <w:vAlign w:val="center"/>
            <w:hideMark/>
          </w:tcPr>
          <w:p w14:paraId="65C87CB9"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28.3%</w:t>
            </w:r>
          </w:p>
        </w:tc>
        <w:tc>
          <w:tcPr>
            <w:tcW w:w="242" w:type="pct"/>
            <w:tcBorders>
              <w:top w:val="nil"/>
              <w:left w:val="nil"/>
              <w:bottom w:val="single" w:sz="4" w:space="0" w:color="auto"/>
              <w:right w:val="single" w:sz="4" w:space="0" w:color="auto"/>
            </w:tcBorders>
            <w:shd w:val="clear" w:color="000000" w:fill="00B050"/>
            <w:noWrap/>
            <w:vAlign w:val="center"/>
            <w:hideMark/>
          </w:tcPr>
          <w:p w14:paraId="5765A81C"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29.3%</w:t>
            </w:r>
          </w:p>
        </w:tc>
        <w:tc>
          <w:tcPr>
            <w:tcW w:w="242" w:type="pct"/>
            <w:tcBorders>
              <w:top w:val="nil"/>
              <w:left w:val="nil"/>
              <w:bottom w:val="single" w:sz="4" w:space="0" w:color="auto"/>
              <w:right w:val="single" w:sz="4" w:space="0" w:color="auto"/>
            </w:tcBorders>
            <w:shd w:val="clear" w:color="000000" w:fill="00B050"/>
            <w:noWrap/>
            <w:vAlign w:val="center"/>
            <w:hideMark/>
          </w:tcPr>
          <w:p w14:paraId="71EF3161"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30.2%</w:t>
            </w:r>
          </w:p>
        </w:tc>
        <w:tc>
          <w:tcPr>
            <w:tcW w:w="242" w:type="pct"/>
            <w:tcBorders>
              <w:top w:val="nil"/>
              <w:left w:val="nil"/>
              <w:bottom w:val="single" w:sz="4" w:space="0" w:color="auto"/>
              <w:right w:val="single" w:sz="4" w:space="0" w:color="auto"/>
            </w:tcBorders>
            <w:shd w:val="clear" w:color="000000" w:fill="00B050"/>
            <w:noWrap/>
            <w:vAlign w:val="center"/>
            <w:hideMark/>
          </w:tcPr>
          <w:p w14:paraId="00465612"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31.4%</w:t>
            </w:r>
          </w:p>
        </w:tc>
        <w:tc>
          <w:tcPr>
            <w:tcW w:w="242" w:type="pct"/>
            <w:tcBorders>
              <w:top w:val="nil"/>
              <w:left w:val="nil"/>
              <w:bottom w:val="single" w:sz="4" w:space="0" w:color="auto"/>
              <w:right w:val="single" w:sz="4" w:space="0" w:color="auto"/>
            </w:tcBorders>
            <w:shd w:val="clear" w:color="000000" w:fill="00B050"/>
            <w:noWrap/>
            <w:vAlign w:val="center"/>
            <w:hideMark/>
          </w:tcPr>
          <w:p w14:paraId="25609F85"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37.3%</w:t>
            </w:r>
          </w:p>
        </w:tc>
        <w:tc>
          <w:tcPr>
            <w:tcW w:w="242" w:type="pct"/>
            <w:tcBorders>
              <w:top w:val="nil"/>
              <w:left w:val="nil"/>
              <w:bottom w:val="single" w:sz="4" w:space="0" w:color="auto"/>
              <w:right w:val="single" w:sz="4" w:space="0" w:color="auto"/>
            </w:tcBorders>
            <w:shd w:val="clear" w:color="000000" w:fill="00B050"/>
            <w:noWrap/>
            <w:vAlign w:val="center"/>
            <w:hideMark/>
          </w:tcPr>
          <w:p w14:paraId="06D486E4"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41.7%</w:t>
            </w:r>
          </w:p>
        </w:tc>
        <w:tc>
          <w:tcPr>
            <w:tcW w:w="242" w:type="pct"/>
            <w:tcBorders>
              <w:top w:val="nil"/>
              <w:left w:val="nil"/>
              <w:bottom w:val="single" w:sz="4" w:space="0" w:color="auto"/>
              <w:right w:val="single" w:sz="4" w:space="0" w:color="auto"/>
            </w:tcBorders>
            <w:shd w:val="clear" w:color="000000" w:fill="00B050"/>
            <w:noWrap/>
            <w:vAlign w:val="center"/>
            <w:hideMark/>
          </w:tcPr>
          <w:p w14:paraId="224784F7"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44.8%</w:t>
            </w:r>
          </w:p>
        </w:tc>
        <w:tc>
          <w:tcPr>
            <w:tcW w:w="242" w:type="pct"/>
            <w:tcBorders>
              <w:top w:val="nil"/>
              <w:left w:val="nil"/>
              <w:bottom w:val="single" w:sz="4" w:space="0" w:color="auto"/>
              <w:right w:val="single" w:sz="4" w:space="0" w:color="auto"/>
            </w:tcBorders>
            <w:shd w:val="clear" w:color="000000" w:fill="00B050"/>
            <w:noWrap/>
            <w:vAlign w:val="center"/>
            <w:hideMark/>
          </w:tcPr>
          <w:p w14:paraId="2CC4AAAF" w14:textId="77777777" w:rsidR="008A6BBC" w:rsidRPr="00774E29" w:rsidRDefault="008A6BBC" w:rsidP="005A1CEA">
            <w:pPr>
              <w:spacing w:after="0" w:line="240" w:lineRule="auto"/>
              <w:jc w:val="center"/>
              <w:rPr>
                <w:rFonts w:eastAsia="Times New Roman" w:cstheme="minorHAnsi"/>
                <w:color w:val="FFFFFF"/>
                <w:sz w:val="18"/>
                <w:szCs w:val="14"/>
              </w:rPr>
            </w:pPr>
            <w:r w:rsidRPr="00774E29">
              <w:rPr>
                <w:rFonts w:eastAsia="Times New Roman" w:cstheme="minorHAnsi"/>
                <w:color w:val="FFFFFF"/>
                <w:sz w:val="18"/>
                <w:szCs w:val="14"/>
              </w:rPr>
              <w:t>47.5%</w:t>
            </w:r>
          </w:p>
        </w:tc>
      </w:tr>
    </w:tbl>
    <w:p w14:paraId="70433540" w14:textId="77777777" w:rsidR="008A6BBC" w:rsidRDefault="008A6BBC" w:rsidP="008A6BBC">
      <w:pPr>
        <w:jc w:val="both"/>
        <w:rPr>
          <w:rFonts w:ascii="Times New Roman" w:hAnsi="Times New Roman" w:cs="Times New Roman"/>
          <w:sz w:val="28"/>
          <w:szCs w:val="28"/>
        </w:rPr>
      </w:pPr>
    </w:p>
    <w:p w14:paraId="1B9609E7" w14:textId="77777777" w:rsidR="00E02794" w:rsidRPr="00AF391B" w:rsidRDefault="00E02794" w:rsidP="00E02794">
      <w:pPr>
        <w:jc w:val="both"/>
        <w:rPr>
          <w:rFonts w:cstheme="minorHAnsi"/>
          <w:sz w:val="24"/>
          <w:szCs w:val="24"/>
        </w:rPr>
      </w:pPr>
    </w:p>
    <w:p w14:paraId="66069352" w14:textId="77777777" w:rsidR="00E02794" w:rsidRPr="00AF391B" w:rsidRDefault="00572518" w:rsidP="00AB0FEE">
      <w:pPr>
        <w:rPr>
          <w:rFonts w:cstheme="minorHAnsi"/>
          <w:b/>
          <w:bCs/>
          <w:i/>
          <w:iCs/>
          <w:sz w:val="24"/>
          <w:szCs w:val="24"/>
          <w:lang w:val="en-US"/>
        </w:rPr>
      </w:pPr>
      <w:r w:rsidRPr="00AF391B">
        <w:rPr>
          <w:rFonts w:cstheme="minorHAnsi"/>
          <w:b/>
          <w:bCs/>
          <w:i/>
          <w:iCs/>
          <w:sz w:val="24"/>
          <w:szCs w:val="24"/>
          <w:lang w:val="en-US"/>
        </w:rPr>
        <w:t>Dimension Energy Efficiency</w:t>
      </w:r>
    </w:p>
    <w:p w14:paraId="4EFDA68A" w14:textId="77777777" w:rsidR="00A90F30" w:rsidRDefault="00E239C2" w:rsidP="00E239C2">
      <w:pPr>
        <w:jc w:val="both"/>
        <w:rPr>
          <w:rFonts w:cstheme="minorHAnsi"/>
          <w:sz w:val="24"/>
          <w:szCs w:val="24"/>
          <w:lang w:val="en-US"/>
        </w:rPr>
      </w:pPr>
      <w:r w:rsidRPr="00AF391B">
        <w:rPr>
          <w:rFonts w:cstheme="minorHAnsi"/>
          <w:sz w:val="24"/>
          <w:szCs w:val="24"/>
          <w:lang w:val="en-US"/>
        </w:rPr>
        <w:t xml:space="preserve">Considering existing energy efficiency policies, measures and programs for primary and final energy consumption, and taking into account existing data over the 2010 – 2020 period, projections have been modelled until 2050. Disaggregated data for final energy consumption include forecasts by type fuel (all sectors), </w:t>
      </w:r>
      <w:r w:rsidR="00A90F30">
        <w:rPr>
          <w:rFonts w:cstheme="minorHAnsi"/>
          <w:sz w:val="24"/>
          <w:szCs w:val="24"/>
          <w:lang w:val="en-US"/>
        </w:rPr>
        <w:t>as presented in Figure 3 below:</w:t>
      </w:r>
    </w:p>
    <w:p w14:paraId="6BF9485C" w14:textId="13F8D857" w:rsidR="008A6BBC" w:rsidRDefault="008A6BBC" w:rsidP="00E239C2">
      <w:pPr>
        <w:jc w:val="both"/>
        <w:rPr>
          <w:rFonts w:cstheme="minorHAnsi"/>
          <w:sz w:val="24"/>
          <w:szCs w:val="24"/>
          <w:lang w:val="en-US"/>
        </w:rPr>
      </w:pPr>
    </w:p>
    <w:p w14:paraId="6048C0AC" w14:textId="77777777" w:rsidR="00A90F30" w:rsidRPr="00D354F9" w:rsidRDefault="00A90F30" w:rsidP="00A90F30">
      <w:pPr>
        <w:jc w:val="center"/>
        <w:rPr>
          <w:rFonts w:cstheme="minorHAnsi"/>
          <w:sz w:val="20"/>
          <w:szCs w:val="20"/>
        </w:rPr>
      </w:pPr>
      <w:r w:rsidRPr="00D354F9">
        <w:rPr>
          <w:rFonts w:cstheme="minorHAnsi"/>
          <w:noProof/>
          <w:sz w:val="20"/>
          <w:szCs w:val="20"/>
          <w:lang w:val="en-GB" w:eastAsia="en-GB"/>
        </w:rPr>
        <w:lastRenderedPageBreak/>
        <w:drawing>
          <wp:inline distT="0" distB="0" distL="0" distR="0" wp14:anchorId="442D3166" wp14:editId="14CCFD29">
            <wp:extent cx="6139815" cy="5057029"/>
            <wp:effectExtent l="0" t="0" r="0" b="0"/>
            <wp:docPr id="222" name="Диаграмма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1469D6" w14:textId="1718BEFA" w:rsidR="00A90F30" w:rsidRPr="00774E29" w:rsidRDefault="00A90F30" w:rsidP="00A90F30">
      <w:pPr>
        <w:pStyle w:val="Caption"/>
        <w:jc w:val="center"/>
        <w:rPr>
          <w:rFonts w:cstheme="minorHAnsi"/>
          <w:color w:val="auto"/>
          <w:sz w:val="24"/>
          <w:szCs w:val="20"/>
          <w:lang w:val="en-US"/>
        </w:rPr>
      </w:pPr>
      <w:bookmarkStart w:id="8" w:name="_Toc153298744"/>
      <w:r w:rsidRPr="00774E29">
        <w:rPr>
          <w:rFonts w:cstheme="minorHAnsi"/>
          <w:color w:val="auto"/>
          <w:sz w:val="24"/>
          <w:szCs w:val="20"/>
          <w:lang w:val="en-US"/>
        </w:rPr>
        <w:t xml:space="preserve">Figure </w:t>
      </w:r>
      <w:r w:rsidRPr="00774E29">
        <w:rPr>
          <w:rFonts w:cstheme="minorHAnsi"/>
          <w:color w:val="auto"/>
          <w:sz w:val="24"/>
          <w:szCs w:val="20"/>
          <w:lang w:val="en-US"/>
        </w:rPr>
        <w:fldChar w:fldCharType="begin"/>
      </w:r>
      <w:r w:rsidRPr="00774E29">
        <w:rPr>
          <w:rFonts w:cstheme="minorHAnsi"/>
          <w:color w:val="auto"/>
          <w:sz w:val="24"/>
          <w:szCs w:val="20"/>
          <w:lang w:val="en-US"/>
        </w:rPr>
        <w:instrText xml:space="preserve"> SEQ Figure \* ARABIC </w:instrText>
      </w:r>
      <w:r w:rsidRPr="00774E29">
        <w:rPr>
          <w:rFonts w:cstheme="minorHAnsi"/>
          <w:color w:val="auto"/>
          <w:sz w:val="24"/>
          <w:szCs w:val="20"/>
          <w:lang w:val="en-US"/>
        </w:rPr>
        <w:fldChar w:fldCharType="separate"/>
      </w:r>
      <w:r w:rsidRPr="00774E29">
        <w:rPr>
          <w:rFonts w:cstheme="minorHAnsi"/>
          <w:noProof/>
          <w:color w:val="auto"/>
          <w:sz w:val="24"/>
          <w:szCs w:val="20"/>
          <w:lang w:val="en-US"/>
        </w:rPr>
        <w:t>3</w:t>
      </w:r>
      <w:r w:rsidRPr="00774E29">
        <w:rPr>
          <w:rFonts w:cstheme="minorHAnsi"/>
          <w:color w:val="auto"/>
          <w:sz w:val="24"/>
          <w:szCs w:val="20"/>
          <w:lang w:val="en-US"/>
        </w:rPr>
        <w:fldChar w:fldCharType="end"/>
      </w:r>
      <w:r w:rsidRPr="00774E29">
        <w:rPr>
          <w:rFonts w:cstheme="minorHAnsi"/>
          <w:color w:val="auto"/>
          <w:sz w:val="24"/>
          <w:szCs w:val="20"/>
          <w:lang w:val="en-US"/>
        </w:rPr>
        <w:t>.  Forecast of final energy consumption until 2050 by fuel, in ktoe</w:t>
      </w:r>
      <w:bookmarkEnd w:id="8"/>
    </w:p>
    <w:p w14:paraId="208C3DEF" w14:textId="77777777" w:rsidR="00A90F30" w:rsidRDefault="00A90F30" w:rsidP="00E239C2">
      <w:pPr>
        <w:jc w:val="both"/>
        <w:rPr>
          <w:rFonts w:cstheme="minorHAnsi"/>
          <w:sz w:val="24"/>
          <w:szCs w:val="24"/>
          <w:lang w:val="en-US"/>
        </w:rPr>
      </w:pPr>
    </w:p>
    <w:p w14:paraId="254E97AB" w14:textId="722287B9" w:rsidR="00572518" w:rsidRDefault="0091791C" w:rsidP="00E239C2">
      <w:pPr>
        <w:jc w:val="both"/>
        <w:rPr>
          <w:rFonts w:cstheme="minorHAnsi"/>
          <w:sz w:val="24"/>
          <w:szCs w:val="24"/>
          <w:lang w:val="en-US"/>
        </w:rPr>
      </w:pPr>
      <w:r w:rsidRPr="00AF391B">
        <w:rPr>
          <w:rFonts w:cstheme="minorHAnsi"/>
          <w:sz w:val="24"/>
          <w:szCs w:val="24"/>
          <w:lang w:val="en-US"/>
        </w:rPr>
        <w:t xml:space="preserve">Thus, it is </w:t>
      </w:r>
      <w:r w:rsidRPr="00A85996">
        <w:rPr>
          <w:rFonts w:cstheme="minorHAnsi"/>
          <w:b/>
          <w:bCs/>
          <w:sz w:val="24"/>
          <w:szCs w:val="24"/>
          <w:lang w:val="en-US"/>
        </w:rPr>
        <w:t>predicted</w:t>
      </w:r>
      <w:r w:rsidRPr="00AF391B">
        <w:rPr>
          <w:rFonts w:cstheme="minorHAnsi"/>
          <w:sz w:val="24"/>
          <w:szCs w:val="24"/>
          <w:lang w:val="en-US"/>
        </w:rPr>
        <w:t xml:space="preserve"> that by 2030 the consumption of gas/diesel oil will decrease from 616.84 ktoe to 596.60 ktoe and will amount to 23% of the total final consumption, the consumption of biomass will decrease from 611.83 ktoe to 577.85 ktoe (share of 23%). The share of natural gas will not change, and its consumption will increase from 402.79 ktoe to 408.56 ktoe. The share of electricity will increase to 15%, and its consumption will increase from 342.38 ktoe to 453.29 ktoe.</w:t>
      </w:r>
    </w:p>
    <w:p w14:paraId="19CC28C7" w14:textId="5262A309" w:rsidR="00A90F30" w:rsidRDefault="00A90F30" w:rsidP="00A90F30">
      <w:pPr>
        <w:jc w:val="both"/>
        <w:rPr>
          <w:rFonts w:cstheme="minorHAnsi"/>
          <w:sz w:val="24"/>
          <w:szCs w:val="24"/>
          <w:lang w:val="en-US"/>
        </w:rPr>
      </w:pPr>
      <w:r>
        <w:rPr>
          <w:rFonts w:cstheme="minorHAnsi"/>
          <w:sz w:val="24"/>
          <w:szCs w:val="24"/>
          <w:lang w:val="en-US"/>
        </w:rPr>
        <w:t>Projections of primary energy consumption and of final energy consumption by sector (industry, transport, services, residential and agriculture/forestry) up to the year 2050 are presented in Table 5 below:</w:t>
      </w:r>
      <w:r w:rsidRPr="00AF391B">
        <w:rPr>
          <w:rFonts w:cstheme="minorHAnsi"/>
          <w:sz w:val="24"/>
          <w:szCs w:val="24"/>
          <w:lang w:val="en-US"/>
        </w:rPr>
        <w:t xml:space="preserve"> </w:t>
      </w:r>
    </w:p>
    <w:p w14:paraId="5F34EEA9" w14:textId="780734E0" w:rsidR="00A90F30" w:rsidRPr="00774E29" w:rsidRDefault="00A90F30" w:rsidP="00A90F30">
      <w:pPr>
        <w:pStyle w:val="Caption"/>
        <w:jc w:val="both"/>
        <w:rPr>
          <w:rFonts w:cstheme="minorHAnsi"/>
          <w:b/>
          <w:bCs/>
          <w:color w:val="auto"/>
          <w:sz w:val="24"/>
          <w:szCs w:val="20"/>
          <w:lang w:val="en-US"/>
        </w:rPr>
      </w:pPr>
      <w:bookmarkStart w:id="9" w:name="_Toc153298678"/>
      <w:r w:rsidRPr="00774E29">
        <w:rPr>
          <w:rFonts w:cstheme="minorHAnsi"/>
          <w:b/>
          <w:bCs/>
          <w:color w:val="auto"/>
          <w:sz w:val="24"/>
          <w:szCs w:val="20"/>
          <w:lang w:val="en-US"/>
        </w:rPr>
        <w:t xml:space="preserve">Table </w:t>
      </w:r>
      <w:r>
        <w:rPr>
          <w:rFonts w:cstheme="minorHAnsi"/>
          <w:b/>
          <w:bCs/>
          <w:color w:val="auto"/>
          <w:sz w:val="24"/>
          <w:szCs w:val="20"/>
          <w:lang w:val="en-US"/>
        </w:rPr>
        <w:t>5</w:t>
      </w:r>
      <w:r w:rsidRPr="00774E29">
        <w:rPr>
          <w:rFonts w:cstheme="minorHAnsi"/>
          <w:b/>
          <w:bCs/>
          <w:color w:val="auto"/>
          <w:sz w:val="24"/>
          <w:szCs w:val="20"/>
          <w:lang w:val="en-US"/>
        </w:rPr>
        <w:t>. Projections considering existing energy efficiency policies, measures and programs as described in point 1.2. for primary and final energy consumption for each sector until 2050, in ktoe</w:t>
      </w:r>
      <w:bookmarkEnd w:id="9"/>
    </w:p>
    <w:tbl>
      <w:tblPr>
        <w:tblStyle w:val="TableGrid"/>
        <w:tblW w:w="5000" w:type="pct"/>
        <w:tblLook w:val="04A0" w:firstRow="1" w:lastRow="0" w:firstColumn="1" w:lastColumn="0" w:noHBand="0" w:noVBand="1"/>
      </w:tblPr>
      <w:tblGrid>
        <w:gridCol w:w="1025"/>
        <w:gridCol w:w="535"/>
        <w:gridCol w:w="535"/>
        <w:gridCol w:w="535"/>
        <w:gridCol w:w="536"/>
        <w:gridCol w:w="536"/>
        <w:gridCol w:w="536"/>
        <w:gridCol w:w="536"/>
        <w:gridCol w:w="536"/>
        <w:gridCol w:w="536"/>
        <w:gridCol w:w="536"/>
        <w:gridCol w:w="536"/>
        <w:gridCol w:w="536"/>
        <w:gridCol w:w="536"/>
        <w:gridCol w:w="536"/>
        <w:gridCol w:w="536"/>
      </w:tblGrid>
      <w:tr w:rsidR="00A90F30" w:rsidRPr="00D354F9" w14:paraId="07D72A75" w14:textId="77777777" w:rsidTr="005A1CEA">
        <w:trPr>
          <w:trHeight w:val="227"/>
          <w:tblHeader/>
        </w:trPr>
        <w:tc>
          <w:tcPr>
            <w:tcW w:w="695" w:type="pct"/>
          </w:tcPr>
          <w:p w14:paraId="0CB4B273" w14:textId="77777777" w:rsidR="00A90F30" w:rsidRPr="00D354F9" w:rsidRDefault="00A90F30" w:rsidP="005A1CEA">
            <w:pPr>
              <w:rPr>
                <w:rFonts w:cstheme="minorHAnsi"/>
                <w:b/>
                <w:sz w:val="20"/>
                <w:szCs w:val="20"/>
              </w:rPr>
            </w:pPr>
            <w:r w:rsidRPr="00D354F9">
              <w:rPr>
                <w:rFonts w:cstheme="minorHAnsi"/>
                <w:b/>
                <w:sz w:val="20"/>
                <w:szCs w:val="20"/>
              </w:rPr>
              <w:lastRenderedPageBreak/>
              <w:t>Indicator</w:t>
            </w:r>
          </w:p>
        </w:tc>
        <w:tc>
          <w:tcPr>
            <w:tcW w:w="286" w:type="pct"/>
          </w:tcPr>
          <w:p w14:paraId="0B2E8C38"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2020</w:t>
            </w:r>
          </w:p>
        </w:tc>
        <w:tc>
          <w:tcPr>
            <w:tcW w:w="286" w:type="pct"/>
          </w:tcPr>
          <w:p w14:paraId="13C5FACA"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2021</w:t>
            </w:r>
          </w:p>
        </w:tc>
        <w:tc>
          <w:tcPr>
            <w:tcW w:w="286" w:type="pct"/>
          </w:tcPr>
          <w:p w14:paraId="2D32E4EF"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2022</w:t>
            </w:r>
          </w:p>
        </w:tc>
        <w:tc>
          <w:tcPr>
            <w:tcW w:w="286" w:type="pct"/>
          </w:tcPr>
          <w:p w14:paraId="14857E97"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2023</w:t>
            </w:r>
          </w:p>
        </w:tc>
        <w:tc>
          <w:tcPr>
            <w:tcW w:w="287" w:type="pct"/>
          </w:tcPr>
          <w:p w14:paraId="6056318F"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2024</w:t>
            </w:r>
          </w:p>
        </w:tc>
        <w:tc>
          <w:tcPr>
            <w:tcW w:w="287" w:type="pct"/>
          </w:tcPr>
          <w:p w14:paraId="65B81875"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2025</w:t>
            </w:r>
          </w:p>
        </w:tc>
        <w:tc>
          <w:tcPr>
            <w:tcW w:w="287" w:type="pct"/>
          </w:tcPr>
          <w:p w14:paraId="628F34B7"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2026</w:t>
            </w:r>
          </w:p>
        </w:tc>
        <w:tc>
          <w:tcPr>
            <w:tcW w:w="293" w:type="pct"/>
          </w:tcPr>
          <w:p w14:paraId="2AE6461F"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2027</w:t>
            </w:r>
          </w:p>
        </w:tc>
        <w:tc>
          <w:tcPr>
            <w:tcW w:w="287" w:type="pct"/>
          </w:tcPr>
          <w:p w14:paraId="5F1CCD7B"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2028</w:t>
            </w:r>
          </w:p>
        </w:tc>
        <w:tc>
          <w:tcPr>
            <w:tcW w:w="287" w:type="pct"/>
          </w:tcPr>
          <w:p w14:paraId="6F03C6B1"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2029</w:t>
            </w:r>
          </w:p>
        </w:tc>
        <w:tc>
          <w:tcPr>
            <w:tcW w:w="287" w:type="pct"/>
          </w:tcPr>
          <w:p w14:paraId="7EEA5A6D"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2030</w:t>
            </w:r>
          </w:p>
        </w:tc>
        <w:tc>
          <w:tcPr>
            <w:tcW w:w="287" w:type="pct"/>
          </w:tcPr>
          <w:p w14:paraId="7F9BF79D"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2035</w:t>
            </w:r>
          </w:p>
        </w:tc>
        <w:tc>
          <w:tcPr>
            <w:tcW w:w="287" w:type="pct"/>
          </w:tcPr>
          <w:p w14:paraId="1D773128"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2040</w:t>
            </w:r>
          </w:p>
        </w:tc>
        <w:tc>
          <w:tcPr>
            <w:tcW w:w="287" w:type="pct"/>
          </w:tcPr>
          <w:p w14:paraId="00A58D66"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2045</w:t>
            </w:r>
          </w:p>
        </w:tc>
        <w:tc>
          <w:tcPr>
            <w:tcW w:w="287" w:type="pct"/>
          </w:tcPr>
          <w:p w14:paraId="6A2E2891" w14:textId="77777777" w:rsidR="00A90F30" w:rsidRPr="00D354F9" w:rsidRDefault="00A90F30" w:rsidP="005A1CEA">
            <w:pPr>
              <w:ind w:left="-15" w:right="-42"/>
              <w:jc w:val="center"/>
              <w:rPr>
                <w:rFonts w:cstheme="minorHAnsi"/>
                <w:b/>
                <w:sz w:val="20"/>
                <w:szCs w:val="20"/>
              </w:rPr>
            </w:pPr>
            <w:r w:rsidRPr="00D354F9">
              <w:rPr>
                <w:rFonts w:cstheme="minorHAnsi"/>
                <w:b/>
                <w:sz w:val="20"/>
                <w:szCs w:val="20"/>
              </w:rPr>
              <w:t>2050</w:t>
            </w:r>
          </w:p>
        </w:tc>
      </w:tr>
      <w:tr w:rsidR="00A90F30" w:rsidRPr="00D354F9" w14:paraId="4DF72C8D" w14:textId="77777777" w:rsidTr="005A1CEA">
        <w:trPr>
          <w:trHeight w:val="227"/>
        </w:trPr>
        <w:tc>
          <w:tcPr>
            <w:tcW w:w="695" w:type="pct"/>
          </w:tcPr>
          <w:p w14:paraId="64847908" w14:textId="77777777" w:rsidR="00A90F30" w:rsidRPr="00D354F9" w:rsidRDefault="00A90F30" w:rsidP="005A1CEA">
            <w:pPr>
              <w:rPr>
                <w:rFonts w:cstheme="minorHAnsi"/>
                <w:sz w:val="20"/>
                <w:szCs w:val="20"/>
              </w:rPr>
            </w:pPr>
            <w:r w:rsidRPr="00D354F9">
              <w:rPr>
                <w:rFonts w:cstheme="minorHAnsi"/>
                <w:sz w:val="20"/>
                <w:szCs w:val="20"/>
              </w:rPr>
              <w:t>Primary energy consumption</w:t>
            </w:r>
          </w:p>
        </w:tc>
        <w:tc>
          <w:tcPr>
            <w:tcW w:w="286" w:type="pct"/>
            <w:vAlign w:val="center"/>
          </w:tcPr>
          <w:p w14:paraId="49242064"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863</w:t>
            </w:r>
          </w:p>
        </w:tc>
        <w:tc>
          <w:tcPr>
            <w:tcW w:w="286" w:type="pct"/>
            <w:vAlign w:val="center"/>
          </w:tcPr>
          <w:p w14:paraId="09FB792B"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903</w:t>
            </w:r>
          </w:p>
        </w:tc>
        <w:tc>
          <w:tcPr>
            <w:tcW w:w="286" w:type="pct"/>
            <w:vAlign w:val="center"/>
          </w:tcPr>
          <w:p w14:paraId="0F641C20"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879</w:t>
            </w:r>
          </w:p>
        </w:tc>
        <w:tc>
          <w:tcPr>
            <w:tcW w:w="286" w:type="pct"/>
            <w:vAlign w:val="center"/>
          </w:tcPr>
          <w:p w14:paraId="0E979F44"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916</w:t>
            </w:r>
          </w:p>
        </w:tc>
        <w:tc>
          <w:tcPr>
            <w:tcW w:w="287" w:type="pct"/>
            <w:vAlign w:val="center"/>
          </w:tcPr>
          <w:p w14:paraId="69C5AA8C"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953</w:t>
            </w:r>
          </w:p>
        </w:tc>
        <w:tc>
          <w:tcPr>
            <w:tcW w:w="287" w:type="pct"/>
            <w:vAlign w:val="center"/>
          </w:tcPr>
          <w:p w14:paraId="5F2CBB90"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898</w:t>
            </w:r>
          </w:p>
        </w:tc>
        <w:tc>
          <w:tcPr>
            <w:tcW w:w="287" w:type="pct"/>
            <w:vAlign w:val="center"/>
          </w:tcPr>
          <w:p w14:paraId="52246312"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896</w:t>
            </w:r>
          </w:p>
        </w:tc>
        <w:tc>
          <w:tcPr>
            <w:tcW w:w="293" w:type="pct"/>
            <w:vAlign w:val="center"/>
          </w:tcPr>
          <w:p w14:paraId="58F9889F"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916</w:t>
            </w:r>
          </w:p>
        </w:tc>
        <w:tc>
          <w:tcPr>
            <w:tcW w:w="287" w:type="pct"/>
            <w:vAlign w:val="center"/>
          </w:tcPr>
          <w:p w14:paraId="77FB28DB"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917</w:t>
            </w:r>
          </w:p>
        </w:tc>
        <w:tc>
          <w:tcPr>
            <w:tcW w:w="287" w:type="pct"/>
            <w:vAlign w:val="center"/>
          </w:tcPr>
          <w:p w14:paraId="795B4561"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919</w:t>
            </w:r>
          </w:p>
        </w:tc>
        <w:tc>
          <w:tcPr>
            <w:tcW w:w="287" w:type="pct"/>
            <w:vAlign w:val="center"/>
          </w:tcPr>
          <w:p w14:paraId="3D8182C4"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868</w:t>
            </w:r>
          </w:p>
        </w:tc>
        <w:tc>
          <w:tcPr>
            <w:tcW w:w="287" w:type="pct"/>
            <w:vAlign w:val="center"/>
          </w:tcPr>
          <w:p w14:paraId="2C825BAB"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740</w:t>
            </w:r>
          </w:p>
        </w:tc>
        <w:tc>
          <w:tcPr>
            <w:tcW w:w="287" w:type="pct"/>
            <w:vAlign w:val="center"/>
          </w:tcPr>
          <w:p w14:paraId="20036705"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573</w:t>
            </w:r>
          </w:p>
        </w:tc>
        <w:tc>
          <w:tcPr>
            <w:tcW w:w="287" w:type="pct"/>
            <w:vAlign w:val="center"/>
          </w:tcPr>
          <w:p w14:paraId="3D93F1A0"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568</w:t>
            </w:r>
          </w:p>
        </w:tc>
        <w:tc>
          <w:tcPr>
            <w:tcW w:w="287" w:type="pct"/>
            <w:vAlign w:val="center"/>
          </w:tcPr>
          <w:p w14:paraId="6FA9538D" w14:textId="77777777" w:rsidR="00A90F30" w:rsidRPr="00D354F9" w:rsidRDefault="00A90F30" w:rsidP="005A1CEA">
            <w:pPr>
              <w:ind w:left="-15" w:right="-42"/>
              <w:jc w:val="center"/>
              <w:rPr>
                <w:rFonts w:cstheme="minorHAnsi"/>
                <w:sz w:val="20"/>
                <w:szCs w:val="20"/>
              </w:rPr>
            </w:pPr>
            <w:r w:rsidRPr="00D354F9">
              <w:rPr>
                <w:rFonts w:cstheme="minorHAnsi"/>
                <w:color w:val="000000"/>
                <w:sz w:val="20"/>
                <w:szCs w:val="20"/>
              </w:rPr>
              <w:t>2</w:t>
            </w:r>
            <w:r>
              <w:rPr>
                <w:rFonts w:cstheme="minorHAnsi"/>
                <w:color w:val="000000"/>
                <w:sz w:val="20"/>
                <w:szCs w:val="20"/>
              </w:rPr>
              <w:t>,</w:t>
            </w:r>
            <w:r w:rsidRPr="00D354F9">
              <w:rPr>
                <w:rFonts w:cstheme="minorHAnsi"/>
                <w:color w:val="000000"/>
                <w:sz w:val="20"/>
                <w:szCs w:val="20"/>
              </w:rPr>
              <w:t>561</w:t>
            </w:r>
          </w:p>
        </w:tc>
      </w:tr>
      <w:tr w:rsidR="00A90F30" w:rsidRPr="00D354F9" w14:paraId="1F70725B" w14:textId="77777777" w:rsidTr="005A1CEA">
        <w:trPr>
          <w:trHeight w:val="227"/>
        </w:trPr>
        <w:tc>
          <w:tcPr>
            <w:tcW w:w="695" w:type="pct"/>
          </w:tcPr>
          <w:p w14:paraId="1E74FF75" w14:textId="77777777" w:rsidR="00A90F30" w:rsidRPr="00D354F9" w:rsidRDefault="00A90F30" w:rsidP="005A1CEA">
            <w:pPr>
              <w:rPr>
                <w:rFonts w:cstheme="minorHAnsi"/>
                <w:sz w:val="20"/>
                <w:szCs w:val="20"/>
              </w:rPr>
            </w:pPr>
            <w:r w:rsidRPr="00D354F9">
              <w:rPr>
                <w:rFonts w:cstheme="minorHAnsi"/>
                <w:sz w:val="20"/>
                <w:szCs w:val="20"/>
              </w:rPr>
              <w:t>Final energy consumption,</w:t>
            </w:r>
          </w:p>
          <w:p w14:paraId="0978E401" w14:textId="77777777" w:rsidR="00A90F30" w:rsidRPr="00D354F9" w:rsidRDefault="00A90F30" w:rsidP="005A1CEA">
            <w:pPr>
              <w:rPr>
                <w:rFonts w:cstheme="minorHAnsi"/>
                <w:sz w:val="20"/>
                <w:szCs w:val="20"/>
              </w:rPr>
            </w:pPr>
            <w:r w:rsidRPr="00D354F9">
              <w:rPr>
                <w:rFonts w:cstheme="minorHAnsi"/>
                <w:sz w:val="20"/>
                <w:szCs w:val="20"/>
              </w:rPr>
              <w:t>including:</w:t>
            </w:r>
          </w:p>
        </w:tc>
        <w:tc>
          <w:tcPr>
            <w:tcW w:w="286" w:type="pct"/>
            <w:vAlign w:val="center"/>
          </w:tcPr>
          <w:p w14:paraId="7DCFAC30"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550</w:t>
            </w:r>
          </w:p>
        </w:tc>
        <w:tc>
          <w:tcPr>
            <w:tcW w:w="286" w:type="pct"/>
            <w:vAlign w:val="center"/>
          </w:tcPr>
          <w:p w14:paraId="230DA5A0"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593</w:t>
            </w:r>
          </w:p>
        </w:tc>
        <w:tc>
          <w:tcPr>
            <w:tcW w:w="286" w:type="pct"/>
            <w:vAlign w:val="center"/>
          </w:tcPr>
          <w:p w14:paraId="5D97AC16"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616</w:t>
            </w:r>
          </w:p>
        </w:tc>
        <w:tc>
          <w:tcPr>
            <w:tcW w:w="286" w:type="pct"/>
            <w:vAlign w:val="center"/>
          </w:tcPr>
          <w:p w14:paraId="1EB1B457"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639</w:t>
            </w:r>
          </w:p>
        </w:tc>
        <w:tc>
          <w:tcPr>
            <w:tcW w:w="287" w:type="pct"/>
            <w:vAlign w:val="center"/>
          </w:tcPr>
          <w:p w14:paraId="22603A1C"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660</w:t>
            </w:r>
          </w:p>
        </w:tc>
        <w:tc>
          <w:tcPr>
            <w:tcW w:w="287" w:type="pct"/>
            <w:vAlign w:val="center"/>
          </w:tcPr>
          <w:p w14:paraId="60A2091B"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624</w:t>
            </w:r>
          </w:p>
        </w:tc>
        <w:tc>
          <w:tcPr>
            <w:tcW w:w="287" w:type="pct"/>
            <w:vAlign w:val="center"/>
          </w:tcPr>
          <w:p w14:paraId="43442ED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626</w:t>
            </w:r>
          </w:p>
        </w:tc>
        <w:tc>
          <w:tcPr>
            <w:tcW w:w="293" w:type="pct"/>
            <w:vAlign w:val="center"/>
          </w:tcPr>
          <w:p w14:paraId="29C5ECBC"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634</w:t>
            </w:r>
          </w:p>
        </w:tc>
        <w:tc>
          <w:tcPr>
            <w:tcW w:w="287" w:type="pct"/>
            <w:vAlign w:val="center"/>
          </w:tcPr>
          <w:p w14:paraId="2917C117"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636</w:t>
            </w:r>
          </w:p>
        </w:tc>
        <w:tc>
          <w:tcPr>
            <w:tcW w:w="287" w:type="pct"/>
            <w:vAlign w:val="center"/>
          </w:tcPr>
          <w:p w14:paraId="0F574C33"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638</w:t>
            </w:r>
          </w:p>
        </w:tc>
        <w:tc>
          <w:tcPr>
            <w:tcW w:w="287" w:type="pct"/>
            <w:vAlign w:val="center"/>
          </w:tcPr>
          <w:p w14:paraId="231306E3"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580</w:t>
            </w:r>
          </w:p>
        </w:tc>
        <w:tc>
          <w:tcPr>
            <w:tcW w:w="287" w:type="pct"/>
            <w:vAlign w:val="center"/>
          </w:tcPr>
          <w:p w14:paraId="2BFBFB72"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427</w:t>
            </w:r>
          </w:p>
        </w:tc>
        <w:tc>
          <w:tcPr>
            <w:tcW w:w="287" w:type="pct"/>
            <w:vAlign w:val="center"/>
          </w:tcPr>
          <w:p w14:paraId="7CEA1B1A"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206</w:t>
            </w:r>
          </w:p>
        </w:tc>
        <w:tc>
          <w:tcPr>
            <w:tcW w:w="287" w:type="pct"/>
            <w:vAlign w:val="center"/>
          </w:tcPr>
          <w:p w14:paraId="3C1EBAB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113</w:t>
            </w:r>
          </w:p>
        </w:tc>
        <w:tc>
          <w:tcPr>
            <w:tcW w:w="287" w:type="pct"/>
            <w:vAlign w:val="center"/>
          </w:tcPr>
          <w:p w14:paraId="01EDEB81"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w:t>
            </w:r>
            <w:r>
              <w:rPr>
                <w:rFonts w:cstheme="minorHAnsi"/>
                <w:sz w:val="20"/>
                <w:szCs w:val="20"/>
              </w:rPr>
              <w:t>,</w:t>
            </w:r>
            <w:r w:rsidRPr="00D354F9">
              <w:rPr>
                <w:rFonts w:cstheme="minorHAnsi"/>
                <w:sz w:val="20"/>
                <w:szCs w:val="20"/>
              </w:rPr>
              <w:t>093</w:t>
            </w:r>
          </w:p>
        </w:tc>
      </w:tr>
      <w:tr w:rsidR="00A90F30" w:rsidRPr="00D354F9" w14:paraId="144865A5" w14:textId="77777777" w:rsidTr="005A1CEA">
        <w:trPr>
          <w:trHeight w:val="227"/>
        </w:trPr>
        <w:tc>
          <w:tcPr>
            <w:tcW w:w="695" w:type="pct"/>
          </w:tcPr>
          <w:p w14:paraId="37DFD345" w14:textId="77777777" w:rsidR="00A90F30" w:rsidRPr="00D354F9" w:rsidRDefault="00A90F30" w:rsidP="005A1CEA">
            <w:pPr>
              <w:jc w:val="right"/>
              <w:rPr>
                <w:rFonts w:cstheme="minorHAnsi"/>
                <w:sz w:val="20"/>
                <w:szCs w:val="20"/>
              </w:rPr>
            </w:pPr>
            <w:r w:rsidRPr="00D354F9">
              <w:rPr>
                <w:rFonts w:cstheme="minorHAnsi"/>
                <w:sz w:val="20"/>
                <w:szCs w:val="20"/>
              </w:rPr>
              <w:t>Industry</w:t>
            </w:r>
          </w:p>
        </w:tc>
        <w:tc>
          <w:tcPr>
            <w:tcW w:w="286" w:type="pct"/>
            <w:vAlign w:val="center"/>
          </w:tcPr>
          <w:p w14:paraId="20B8D01D"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207</w:t>
            </w:r>
          </w:p>
        </w:tc>
        <w:tc>
          <w:tcPr>
            <w:tcW w:w="286" w:type="pct"/>
            <w:vAlign w:val="center"/>
          </w:tcPr>
          <w:p w14:paraId="6D14BE67"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210</w:t>
            </w:r>
          </w:p>
        </w:tc>
        <w:tc>
          <w:tcPr>
            <w:tcW w:w="286" w:type="pct"/>
            <w:vAlign w:val="center"/>
          </w:tcPr>
          <w:p w14:paraId="4FD95567"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213</w:t>
            </w:r>
          </w:p>
        </w:tc>
        <w:tc>
          <w:tcPr>
            <w:tcW w:w="286" w:type="pct"/>
            <w:vAlign w:val="center"/>
          </w:tcPr>
          <w:p w14:paraId="5FAE1E1E"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215</w:t>
            </w:r>
          </w:p>
        </w:tc>
        <w:tc>
          <w:tcPr>
            <w:tcW w:w="287" w:type="pct"/>
            <w:vAlign w:val="center"/>
          </w:tcPr>
          <w:p w14:paraId="35C64C9A"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217</w:t>
            </w:r>
          </w:p>
        </w:tc>
        <w:tc>
          <w:tcPr>
            <w:tcW w:w="287" w:type="pct"/>
            <w:vAlign w:val="center"/>
          </w:tcPr>
          <w:p w14:paraId="13757269"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209</w:t>
            </w:r>
          </w:p>
        </w:tc>
        <w:tc>
          <w:tcPr>
            <w:tcW w:w="287" w:type="pct"/>
            <w:vAlign w:val="center"/>
          </w:tcPr>
          <w:p w14:paraId="1BB2DE0B"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211</w:t>
            </w:r>
          </w:p>
        </w:tc>
        <w:tc>
          <w:tcPr>
            <w:tcW w:w="293" w:type="pct"/>
            <w:vAlign w:val="center"/>
          </w:tcPr>
          <w:p w14:paraId="37FD12CE"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217</w:t>
            </w:r>
          </w:p>
        </w:tc>
        <w:tc>
          <w:tcPr>
            <w:tcW w:w="287" w:type="pct"/>
            <w:vAlign w:val="center"/>
          </w:tcPr>
          <w:p w14:paraId="02C73544"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219</w:t>
            </w:r>
          </w:p>
        </w:tc>
        <w:tc>
          <w:tcPr>
            <w:tcW w:w="287" w:type="pct"/>
            <w:vAlign w:val="center"/>
          </w:tcPr>
          <w:p w14:paraId="2F532FAC"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221</w:t>
            </w:r>
          </w:p>
        </w:tc>
        <w:tc>
          <w:tcPr>
            <w:tcW w:w="287" w:type="pct"/>
            <w:vAlign w:val="center"/>
          </w:tcPr>
          <w:p w14:paraId="2558954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209</w:t>
            </w:r>
          </w:p>
        </w:tc>
        <w:tc>
          <w:tcPr>
            <w:tcW w:w="287" w:type="pct"/>
            <w:vAlign w:val="center"/>
          </w:tcPr>
          <w:p w14:paraId="5263B3B0"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209</w:t>
            </w:r>
          </w:p>
        </w:tc>
        <w:tc>
          <w:tcPr>
            <w:tcW w:w="287" w:type="pct"/>
            <w:vAlign w:val="center"/>
          </w:tcPr>
          <w:p w14:paraId="55F13A2F"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220</w:t>
            </w:r>
          </w:p>
        </w:tc>
        <w:tc>
          <w:tcPr>
            <w:tcW w:w="287" w:type="pct"/>
            <w:vAlign w:val="center"/>
          </w:tcPr>
          <w:p w14:paraId="2251EF59"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229</w:t>
            </w:r>
          </w:p>
        </w:tc>
        <w:tc>
          <w:tcPr>
            <w:tcW w:w="287" w:type="pct"/>
            <w:vAlign w:val="center"/>
          </w:tcPr>
          <w:p w14:paraId="3C57EDBE"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241</w:t>
            </w:r>
          </w:p>
        </w:tc>
      </w:tr>
      <w:tr w:rsidR="00A90F30" w:rsidRPr="00D354F9" w14:paraId="30F74DF5" w14:textId="77777777" w:rsidTr="005A1CEA">
        <w:trPr>
          <w:trHeight w:val="227"/>
        </w:trPr>
        <w:tc>
          <w:tcPr>
            <w:tcW w:w="695" w:type="pct"/>
          </w:tcPr>
          <w:p w14:paraId="387039B1" w14:textId="77777777" w:rsidR="00A90F30" w:rsidRPr="00D354F9" w:rsidRDefault="00A90F30" w:rsidP="005A1CEA">
            <w:pPr>
              <w:jc w:val="right"/>
              <w:rPr>
                <w:rFonts w:cstheme="minorHAnsi"/>
                <w:sz w:val="20"/>
                <w:szCs w:val="20"/>
              </w:rPr>
            </w:pPr>
            <w:r w:rsidRPr="00D354F9">
              <w:rPr>
                <w:rFonts w:cstheme="minorHAnsi"/>
                <w:sz w:val="20"/>
                <w:szCs w:val="20"/>
              </w:rPr>
              <w:t>Transport</w:t>
            </w:r>
          </w:p>
        </w:tc>
        <w:tc>
          <w:tcPr>
            <w:tcW w:w="286" w:type="pct"/>
            <w:vAlign w:val="center"/>
          </w:tcPr>
          <w:p w14:paraId="4462117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755</w:t>
            </w:r>
          </w:p>
        </w:tc>
        <w:tc>
          <w:tcPr>
            <w:tcW w:w="286" w:type="pct"/>
            <w:vAlign w:val="center"/>
          </w:tcPr>
          <w:p w14:paraId="0144FE17" w14:textId="77777777" w:rsidR="00A90F30" w:rsidRPr="00D354F9" w:rsidRDefault="00A90F30" w:rsidP="005A1CEA">
            <w:pPr>
              <w:ind w:left="-15" w:right="-42"/>
              <w:jc w:val="center"/>
              <w:rPr>
                <w:rFonts w:cstheme="minorHAnsi"/>
                <w:sz w:val="20"/>
                <w:szCs w:val="20"/>
              </w:rPr>
            </w:pPr>
            <w:r w:rsidRPr="00D354F9">
              <w:rPr>
                <w:rFonts w:cstheme="minorHAnsi"/>
                <w:sz w:val="20"/>
                <w:szCs w:val="20"/>
              </w:rPr>
              <w:t>780</w:t>
            </w:r>
          </w:p>
        </w:tc>
        <w:tc>
          <w:tcPr>
            <w:tcW w:w="286" w:type="pct"/>
            <w:vAlign w:val="center"/>
          </w:tcPr>
          <w:p w14:paraId="4ED4757F" w14:textId="77777777" w:rsidR="00A90F30" w:rsidRPr="00D354F9" w:rsidRDefault="00A90F30" w:rsidP="005A1CEA">
            <w:pPr>
              <w:ind w:left="-15" w:right="-42"/>
              <w:jc w:val="center"/>
              <w:rPr>
                <w:rFonts w:cstheme="minorHAnsi"/>
                <w:sz w:val="20"/>
                <w:szCs w:val="20"/>
              </w:rPr>
            </w:pPr>
            <w:r w:rsidRPr="00D354F9">
              <w:rPr>
                <w:rFonts w:cstheme="minorHAnsi"/>
                <w:sz w:val="20"/>
                <w:szCs w:val="20"/>
              </w:rPr>
              <w:t>789</w:t>
            </w:r>
          </w:p>
        </w:tc>
        <w:tc>
          <w:tcPr>
            <w:tcW w:w="286" w:type="pct"/>
            <w:vAlign w:val="center"/>
          </w:tcPr>
          <w:p w14:paraId="47AC6B5E"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800</w:t>
            </w:r>
          </w:p>
        </w:tc>
        <w:tc>
          <w:tcPr>
            <w:tcW w:w="287" w:type="pct"/>
            <w:vAlign w:val="center"/>
          </w:tcPr>
          <w:p w14:paraId="3C9FDF79"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807</w:t>
            </w:r>
          </w:p>
        </w:tc>
        <w:tc>
          <w:tcPr>
            <w:tcW w:w="287" w:type="pct"/>
            <w:vAlign w:val="center"/>
          </w:tcPr>
          <w:p w14:paraId="5C4CF521"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812</w:t>
            </w:r>
          </w:p>
        </w:tc>
        <w:tc>
          <w:tcPr>
            <w:tcW w:w="287" w:type="pct"/>
            <w:vAlign w:val="center"/>
          </w:tcPr>
          <w:p w14:paraId="0F64DA7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820</w:t>
            </w:r>
          </w:p>
        </w:tc>
        <w:tc>
          <w:tcPr>
            <w:tcW w:w="293" w:type="pct"/>
            <w:vAlign w:val="center"/>
          </w:tcPr>
          <w:p w14:paraId="2B1DDB27"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827</w:t>
            </w:r>
          </w:p>
        </w:tc>
        <w:tc>
          <w:tcPr>
            <w:tcW w:w="287" w:type="pct"/>
            <w:vAlign w:val="center"/>
          </w:tcPr>
          <w:p w14:paraId="336D2B6E"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833</w:t>
            </w:r>
          </w:p>
        </w:tc>
        <w:tc>
          <w:tcPr>
            <w:tcW w:w="287" w:type="pct"/>
            <w:vAlign w:val="center"/>
          </w:tcPr>
          <w:p w14:paraId="7E27E0A4"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839</w:t>
            </w:r>
          </w:p>
        </w:tc>
        <w:tc>
          <w:tcPr>
            <w:tcW w:w="287" w:type="pct"/>
            <w:vAlign w:val="center"/>
          </w:tcPr>
          <w:p w14:paraId="5AE1F0EF"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803</w:t>
            </w:r>
          </w:p>
        </w:tc>
        <w:tc>
          <w:tcPr>
            <w:tcW w:w="287" w:type="pct"/>
            <w:vAlign w:val="center"/>
          </w:tcPr>
          <w:p w14:paraId="28E4D652" w14:textId="77777777" w:rsidR="00A90F30" w:rsidRPr="00D354F9" w:rsidRDefault="00A90F30" w:rsidP="005A1CEA">
            <w:pPr>
              <w:ind w:left="-15" w:right="-42"/>
              <w:jc w:val="center"/>
              <w:rPr>
                <w:rFonts w:cstheme="minorHAnsi"/>
                <w:sz w:val="20"/>
                <w:szCs w:val="20"/>
              </w:rPr>
            </w:pPr>
            <w:r w:rsidRPr="00D354F9">
              <w:rPr>
                <w:rFonts w:cstheme="minorHAnsi"/>
                <w:sz w:val="20"/>
                <w:szCs w:val="20"/>
              </w:rPr>
              <w:t>710</w:t>
            </w:r>
          </w:p>
        </w:tc>
        <w:tc>
          <w:tcPr>
            <w:tcW w:w="287" w:type="pct"/>
            <w:vAlign w:val="center"/>
          </w:tcPr>
          <w:p w14:paraId="6DFEC4EE" w14:textId="77777777" w:rsidR="00A90F30" w:rsidRPr="00D354F9" w:rsidRDefault="00A90F30" w:rsidP="005A1CEA">
            <w:pPr>
              <w:ind w:left="-15" w:right="-42"/>
              <w:jc w:val="center"/>
              <w:rPr>
                <w:rFonts w:cstheme="minorHAnsi"/>
                <w:sz w:val="20"/>
                <w:szCs w:val="20"/>
              </w:rPr>
            </w:pPr>
            <w:r w:rsidRPr="00D354F9">
              <w:rPr>
                <w:rFonts w:cstheme="minorHAnsi"/>
                <w:sz w:val="20"/>
                <w:szCs w:val="20"/>
              </w:rPr>
              <w:t>576</w:t>
            </w:r>
          </w:p>
        </w:tc>
        <w:tc>
          <w:tcPr>
            <w:tcW w:w="287" w:type="pct"/>
            <w:vAlign w:val="center"/>
          </w:tcPr>
          <w:p w14:paraId="61D5C0B1" w14:textId="77777777" w:rsidR="00A90F30" w:rsidRPr="00D354F9" w:rsidRDefault="00A90F30" w:rsidP="005A1CEA">
            <w:pPr>
              <w:ind w:left="-15" w:right="-42"/>
              <w:jc w:val="center"/>
              <w:rPr>
                <w:rFonts w:cstheme="minorHAnsi"/>
                <w:sz w:val="20"/>
                <w:szCs w:val="20"/>
              </w:rPr>
            </w:pPr>
            <w:r w:rsidRPr="00D354F9">
              <w:rPr>
                <w:rFonts w:cstheme="minorHAnsi"/>
                <w:sz w:val="20"/>
                <w:szCs w:val="20"/>
              </w:rPr>
              <w:t>609</w:t>
            </w:r>
          </w:p>
        </w:tc>
        <w:tc>
          <w:tcPr>
            <w:tcW w:w="287" w:type="pct"/>
            <w:vAlign w:val="center"/>
          </w:tcPr>
          <w:p w14:paraId="604E253C" w14:textId="77777777" w:rsidR="00A90F30" w:rsidRPr="00D354F9" w:rsidRDefault="00A90F30" w:rsidP="005A1CEA">
            <w:pPr>
              <w:ind w:left="-15" w:right="-42"/>
              <w:jc w:val="center"/>
              <w:rPr>
                <w:rFonts w:cstheme="minorHAnsi"/>
                <w:sz w:val="20"/>
                <w:szCs w:val="20"/>
              </w:rPr>
            </w:pPr>
            <w:r w:rsidRPr="00D354F9">
              <w:rPr>
                <w:rFonts w:cstheme="minorHAnsi"/>
                <w:sz w:val="20"/>
                <w:szCs w:val="20"/>
              </w:rPr>
              <w:t>646</w:t>
            </w:r>
          </w:p>
        </w:tc>
      </w:tr>
      <w:tr w:rsidR="00A90F30" w:rsidRPr="00D354F9" w14:paraId="178A403F" w14:textId="77777777" w:rsidTr="005A1CEA">
        <w:trPr>
          <w:trHeight w:val="227"/>
        </w:trPr>
        <w:tc>
          <w:tcPr>
            <w:tcW w:w="695" w:type="pct"/>
            <w:vAlign w:val="center"/>
          </w:tcPr>
          <w:p w14:paraId="1A767DB5" w14:textId="77777777" w:rsidR="00A90F30" w:rsidRPr="00D354F9" w:rsidRDefault="00A90F30" w:rsidP="005A1CEA">
            <w:pPr>
              <w:jc w:val="right"/>
              <w:rPr>
                <w:rFonts w:cstheme="minorHAnsi"/>
                <w:sz w:val="20"/>
                <w:szCs w:val="20"/>
              </w:rPr>
            </w:pPr>
            <w:r w:rsidRPr="00D354F9">
              <w:rPr>
                <w:rFonts w:cstheme="minorHAnsi"/>
                <w:sz w:val="20"/>
                <w:szCs w:val="20"/>
              </w:rPr>
              <w:t>Services</w:t>
            </w:r>
          </w:p>
        </w:tc>
        <w:tc>
          <w:tcPr>
            <w:tcW w:w="286" w:type="pct"/>
            <w:vAlign w:val="center"/>
          </w:tcPr>
          <w:p w14:paraId="4EC14A17"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275</w:t>
            </w:r>
          </w:p>
        </w:tc>
        <w:tc>
          <w:tcPr>
            <w:tcW w:w="286" w:type="pct"/>
            <w:vAlign w:val="center"/>
          </w:tcPr>
          <w:p w14:paraId="68443D2E"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279</w:t>
            </w:r>
          </w:p>
        </w:tc>
        <w:tc>
          <w:tcPr>
            <w:tcW w:w="286" w:type="pct"/>
            <w:vAlign w:val="center"/>
          </w:tcPr>
          <w:p w14:paraId="1CEBEBF9"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280</w:t>
            </w:r>
          </w:p>
        </w:tc>
        <w:tc>
          <w:tcPr>
            <w:tcW w:w="286" w:type="pct"/>
            <w:vAlign w:val="center"/>
          </w:tcPr>
          <w:p w14:paraId="21C87644"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281</w:t>
            </w:r>
          </w:p>
        </w:tc>
        <w:tc>
          <w:tcPr>
            <w:tcW w:w="287" w:type="pct"/>
            <w:vAlign w:val="center"/>
          </w:tcPr>
          <w:p w14:paraId="226DDB22"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281</w:t>
            </w:r>
          </w:p>
        </w:tc>
        <w:tc>
          <w:tcPr>
            <w:tcW w:w="287" w:type="pct"/>
            <w:vAlign w:val="center"/>
          </w:tcPr>
          <w:p w14:paraId="6B7C6551"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280</w:t>
            </w:r>
          </w:p>
        </w:tc>
        <w:tc>
          <w:tcPr>
            <w:tcW w:w="287" w:type="pct"/>
            <w:vAlign w:val="center"/>
          </w:tcPr>
          <w:p w14:paraId="1E47B696"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277</w:t>
            </w:r>
          </w:p>
        </w:tc>
        <w:tc>
          <w:tcPr>
            <w:tcW w:w="293" w:type="pct"/>
            <w:vAlign w:val="center"/>
          </w:tcPr>
          <w:p w14:paraId="40344A2C"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277</w:t>
            </w:r>
          </w:p>
        </w:tc>
        <w:tc>
          <w:tcPr>
            <w:tcW w:w="287" w:type="pct"/>
            <w:vAlign w:val="center"/>
          </w:tcPr>
          <w:p w14:paraId="310E3DDF"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276</w:t>
            </w:r>
          </w:p>
        </w:tc>
        <w:tc>
          <w:tcPr>
            <w:tcW w:w="287" w:type="pct"/>
            <w:vAlign w:val="center"/>
          </w:tcPr>
          <w:p w14:paraId="0A685D3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275</w:t>
            </w:r>
          </w:p>
        </w:tc>
        <w:tc>
          <w:tcPr>
            <w:tcW w:w="287" w:type="pct"/>
            <w:vAlign w:val="center"/>
          </w:tcPr>
          <w:p w14:paraId="60CCF293"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274</w:t>
            </w:r>
          </w:p>
        </w:tc>
        <w:tc>
          <w:tcPr>
            <w:tcW w:w="287" w:type="pct"/>
            <w:vAlign w:val="center"/>
          </w:tcPr>
          <w:p w14:paraId="3182EB50"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270</w:t>
            </w:r>
          </w:p>
        </w:tc>
        <w:tc>
          <w:tcPr>
            <w:tcW w:w="287" w:type="pct"/>
            <w:vAlign w:val="center"/>
          </w:tcPr>
          <w:p w14:paraId="068A23D9"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269</w:t>
            </w:r>
          </w:p>
        </w:tc>
        <w:tc>
          <w:tcPr>
            <w:tcW w:w="287" w:type="pct"/>
            <w:vAlign w:val="center"/>
          </w:tcPr>
          <w:p w14:paraId="7C8DEFC1"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269</w:t>
            </w:r>
          </w:p>
        </w:tc>
        <w:tc>
          <w:tcPr>
            <w:tcW w:w="287" w:type="pct"/>
            <w:vAlign w:val="center"/>
          </w:tcPr>
          <w:p w14:paraId="6C33BA9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273</w:t>
            </w:r>
          </w:p>
        </w:tc>
      </w:tr>
      <w:tr w:rsidR="00A90F30" w:rsidRPr="00D354F9" w14:paraId="2814BE59" w14:textId="77777777" w:rsidTr="005A1CEA">
        <w:trPr>
          <w:trHeight w:val="227"/>
        </w:trPr>
        <w:tc>
          <w:tcPr>
            <w:tcW w:w="695" w:type="pct"/>
            <w:vAlign w:val="center"/>
          </w:tcPr>
          <w:p w14:paraId="2DCF8170" w14:textId="77777777" w:rsidR="00A90F30" w:rsidRPr="00D354F9" w:rsidRDefault="00A90F30" w:rsidP="005A1CEA">
            <w:pPr>
              <w:jc w:val="right"/>
              <w:rPr>
                <w:rFonts w:cstheme="minorHAnsi"/>
                <w:sz w:val="20"/>
                <w:szCs w:val="20"/>
              </w:rPr>
            </w:pPr>
            <w:r w:rsidRPr="00D354F9">
              <w:rPr>
                <w:rFonts w:cstheme="minorHAnsi"/>
                <w:sz w:val="20"/>
                <w:szCs w:val="20"/>
              </w:rPr>
              <w:t>Residential</w:t>
            </w:r>
          </w:p>
        </w:tc>
        <w:tc>
          <w:tcPr>
            <w:tcW w:w="286" w:type="pct"/>
            <w:vAlign w:val="center"/>
          </w:tcPr>
          <w:p w14:paraId="0CA5634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242</w:t>
            </w:r>
          </w:p>
        </w:tc>
        <w:tc>
          <w:tcPr>
            <w:tcW w:w="286" w:type="pct"/>
            <w:vAlign w:val="center"/>
          </w:tcPr>
          <w:p w14:paraId="3FDE8079"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249</w:t>
            </w:r>
          </w:p>
        </w:tc>
        <w:tc>
          <w:tcPr>
            <w:tcW w:w="286" w:type="pct"/>
            <w:vAlign w:val="center"/>
          </w:tcPr>
          <w:p w14:paraId="55F36817"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256</w:t>
            </w:r>
          </w:p>
        </w:tc>
        <w:tc>
          <w:tcPr>
            <w:tcW w:w="286" w:type="pct"/>
            <w:vAlign w:val="center"/>
          </w:tcPr>
          <w:p w14:paraId="75ED14CA"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262</w:t>
            </w:r>
          </w:p>
        </w:tc>
        <w:tc>
          <w:tcPr>
            <w:tcW w:w="287" w:type="pct"/>
            <w:vAlign w:val="center"/>
          </w:tcPr>
          <w:p w14:paraId="234392CE"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270</w:t>
            </w:r>
          </w:p>
        </w:tc>
        <w:tc>
          <w:tcPr>
            <w:tcW w:w="287" w:type="pct"/>
            <w:vAlign w:val="center"/>
          </w:tcPr>
          <w:p w14:paraId="7263A167"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234</w:t>
            </w:r>
          </w:p>
        </w:tc>
        <w:tc>
          <w:tcPr>
            <w:tcW w:w="287" w:type="pct"/>
            <w:vAlign w:val="center"/>
          </w:tcPr>
          <w:p w14:paraId="7333F1F0"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226</w:t>
            </w:r>
          </w:p>
        </w:tc>
        <w:tc>
          <w:tcPr>
            <w:tcW w:w="293" w:type="pct"/>
            <w:vAlign w:val="center"/>
          </w:tcPr>
          <w:p w14:paraId="2AD57867"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221</w:t>
            </w:r>
          </w:p>
        </w:tc>
        <w:tc>
          <w:tcPr>
            <w:tcW w:w="287" w:type="pct"/>
            <w:vAlign w:val="center"/>
          </w:tcPr>
          <w:p w14:paraId="5A78D6C4"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212</w:t>
            </w:r>
          </w:p>
        </w:tc>
        <w:tc>
          <w:tcPr>
            <w:tcW w:w="287" w:type="pct"/>
            <w:vAlign w:val="center"/>
          </w:tcPr>
          <w:p w14:paraId="68D404C0"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206</w:t>
            </w:r>
          </w:p>
        </w:tc>
        <w:tc>
          <w:tcPr>
            <w:tcW w:w="287" w:type="pct"/>
            <w:vAlign w:val="center"/>
          </w:tcPr>
          <w:p w14:paraId="28C73B01"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195</w:t>
            </w:r>
          </w:p>
        </w:tc>
        <w:tc>
          <w:tcPr>
            <w:tcW w:w="287" w:type="pct"/>
            <w:vAlign w:val="center"/>
          </w:tcPr>
          <w:p w14:paraId="7E2F5580"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134</w:t>
            </w:r>
          </w:p>
        </w:tc>
        <w:tc>
          <w:tcPr>
            <w:tcW w:w="287" w:type="pct"/>
            <w:vAlign w:val="center"/>
          </w:tcPr>
          <w:p w14:paraId="78EFFBEB"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w:t>
            </w:r>
            <w:r>
              <w:rPr>
                <w:rFonts w:cstheme="minorHAnsi"/>
                <w:sz w:val="20"/>
                <w:szCs w:val="20"/>
              </w:rPr>
              <w:t>,</w:t>
            </w:r>
            <w:r w:rsidRPr="00D354F9">
              <w:rPr>
                <w:rFonts w:cstheme="minorHAnsi"/>
                <w:sz w:val="20"/>
                <w:szCs w:val="20"/>
              </w:rPr>
              <w:t>029</w:t>
            </w:r>
          </w:p>
        </w:tc>
        <w:tc>
          <w:tcPr>
            <w:tcW w:w="287" w:type="pct"/>
            <w:vAlign w:val="center"/>
          </w:tcPr>
          <w:p w14:paraId="29A0604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886</w:t>
            </w:r>
          </w:p>
        </w:tc>
        <w:tc>
          <w:tcPr>
            <w:tcW w:w="287" w:type="pct"/>
            <w:vAlign w:val="center"/>
          </w:tcPr>
          <w:p w14:paraId="089A7204"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805</w:t>
            </w:r>
          </w:p>
        </w:tc>
      </w:tr>
      <w:tr w:rsidR="00A90F30" w:rsidRPr="00D354F9" w14:paraId="27434585" w14:textId="77777777" w:rsidTr="005A1CEA">
        <w:trPr>
          <w:trHeight w:val="227"/>
        </w:trPr>
        <w:tc>
          <w:tcPr>
            <w:tcW w:w="695" w:type="pct"/>
            <w:vAlign w:val="center"/>
          </w:tcPr>
          <w:p w14:paraId="3ED72D54" w14:textId="77777777" w:rsidR="00A90F30" w:rsidRPr="00D354F9" w:rsidRDefault="00A90F30" w:rsidP="005A1CEA">
            <w:pPr>
              <w:jc w:val="right"/>
              <w:rPr>
                <w:rFonts w:cstheme="minorHAnsi"/>
                <w:sz w:val="20"/>
                <w:szCs w:val="20"/>
              </w:rPr>
            </w:pPr>
            <w:r w:rsidRPr="00D354F9">
              <w:rPr>
                <w:rFonts w:cstheme="minorHAnsi"/>
                <w:sz w:val="20"/>
                <w:szCs w:val="20"/>
              </w:rPr>
              <w:t>Agriculture / Forestry</w:t>
            </w:r>
          </w:p>
        </w:tc>
        <w:tc>
          <w:tcPr>
            <w:tcW w:w="286" w:type="pct"/>
            <w:vAlign w:val="center"/>
          </w:tcPr>
          <w:p w14:paraId="5FF2D6EA"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81</w:t>
            </w:r>
          </w:p>
        </w:tc>
        <w:tc>
          <w:tcPr>
            <w:tcW w:w="286" w:type="pct"/>
            <w:vAlign w:val="center"/>
          </w:tcPr>
          <w:p w14:paraId="022BC254"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85</w:t>
            </w:r>
          </w:p>
        </w:tc>
        <w:tc>
          <w:tcPr>
            <w:tcW w:w="286" w:type="pct"/>
            <w:vAlign w:val="center"/>
          </w:tcPr>
          <w:p w14:paraId="63CAB28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86</w:t>
            </w:r>
          </w:p>
        </w:tc>
        <w:tc>
          <w:tcPr>
            <w:tcW w:w="286" w:type="pct"/>
            <w:vAlign w:val="center"/>
          </w:tcPr>
          <w:p w14:paraId="722FF714"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87</w:t>
            </w:r>
          </w:p>
        </w:tc>
        <w:tc>
          <w:tcPr>
            <w:tcW w:w="287" w:type="pct"/>
            <w:vAlign w:val="center"/>
          </w:tcPr>
          <w:p w14:paraId="3526ABC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89</w:t>
            </w:r>
          </w:p>
        </w:tc>
        <w:tc>
          <w:tcPr>
            <w:tcW w:w="287" w:type="pct"/>
            <w:vAlign w:val="center"/>
          </w:tcPr>
          <w:p w14:paraId="2798F8B1" w14:textId="77777777" w:rsidR="00A90F30" w:rsidRPr="00D354F9" w:rsidRDefault="00A90F30" w:rsidP="005A1CEA">
            <w:pPr>
              <w:ind w:left="-15" w:right="-42"/>
              <w:jc w:val="center"/>
              <w:rPr>
                <w:rFonts w:cstheme="minorHAnsi"/>
                <w:sz w:val="20"/>
                <w:szCs w:val="20"/>
              </w:rPr>
            </w:pPr>
            <w:r w:rsidRPr="00D354F9">
              <w:rPr>
                <w:rFonts w:cstheme="minorHAnsi"/>
                <w:sz w:val="20"/>
                <w:szCs w:val="20"/>
              </w:rPr>
              <w:t>90</w:t>
            </w:r>
          </w:p>
        </w:tc>
        <w:tc>
          <w:tcPr>
            <w:tcW w:w="287" w:type="pct"/>
            <w:vAlign w:val="center"/>
          </w:tcPr>
          <w:p w14:paraId="32895A65" w14:textId="77777777" w:rsidR="00A90F30" w:rsidRPr="00D354F9" w:rsidRDefault="00A90F30" w:rsidP="005A1CEA">
            <w:pPr>
              <w:ind w:left="-15" w:right="-42"/>
              <w:jc w:val="center"/>
              <w:rPr>
                <w:rFonts w:cstheme="minorHAnsi"/>
                <w:sz w:val="20"/>
                <w:szCs w:val="20"/>
              </w:rPr>
            </w:pPr>
            <w:r w:rsidRPr="00D354F9">
              <w:rPr>
                <w:rFonts w:cstheme="minorHAnsi"/>
                <w:sz w:val="20"/>
                <w:szCs w:val="20"/>
              </w:rPr>
              <w:t>92</w:t>
            </w:r>
          </w:p>
        </w:tc>
        <w:tc>
          <w:tcPr>
            <w:tcW w:w="293" w:type="pct"/>
            <w:vAlign w:val="center"/>
          </w:tcPr>
          <w:p w14:paraId="5A5DA217" w14:textId="77777777" w:rsidR="00A90F30" w:rsidRPr="00D354F9" w:rsidRDefault="00A90F30" w:rsidP="005A1CEA">
            <w:pPr>
              <w:ind w:left="-15" w:right="-42"/>
              <w:jc w:val="center"/>
              <w:rPr>
                <w:rFonts w:cstheme="minorHAnsi"/>
                <w:sz w:val="20"/>
                <w:szCs w:val="20"/>
              </w:rPr>
            </w:pPr>
            <w:r w:rsidRPr="00D354F9">
              <w:rPr>
                <w:rFonts w:cstheme="minorHAnsi"/>
                <w:sz w:val="20"/>
                <w:szCs w:val="20"/>
              </w:rPr>
              <w:t>93</w:t>
            </w:r>
          </w:p>
        </w:tc>
        <w:tc>
          <w:tcPr>
            <w:tcW w:w="287" w:type="pct"/>
            <w:vAlign w:val="center"/>
          </w:tcPr>
          <w:p w14:paraId="55203E8C" w14:textId="77777777" w:rsidR="00A90F30" w:rsidRPr="00D354F9" w:rsidRDefault="00A90F30" w:rsidP="005A1CEA">
            <w:pPr>
              <w:ind w:left="-15" w:right="-42"/>
              <w:jc w:val="center"/>
              <w:rPr>
                <w:rFonts w:cstheme="minorHAnsi"/>
                <w:sz w:val="20"/>
                <w:szCs w:val="20"/>
              </w:rPr>
            </w:pPr>
            <w:r w:rsidRPr="00D354F9">
              <w:rPr>
                <w:rFonts w:cstheme="minorHAnsi"/>
                <w:sz w:val="20"/>
                <w:szCs w:val="20"/>
              </w:rPr>
              <w:t>95</w:t>
            </w:r>
          </w:p>
        </w:tc>
        <w:tc>
          <w:tcPr>
            <w:tcW w:w="287" w:type="pct"/>
            <w:vAlign w:val="center"/>
          </w:tcPr>
          <w:p w14:paraId="510C53CE" w14:textId="77777777" w:rsidR="00A90F30" w:rsidRPr="00D354F9" w:rsidRDefault="00A90F30" w:rsidP="005A1CEA">
            <w:pPr>
              <w:ind w:left="-15" w:right="-42"/>
              <w:jc w:val="center"/>
              <w:rPr>
                <w:rFonts w:cstheme="minorHAnsi"/>
                <w:sz w:val="20"/>
                <w:szCs w:val="20"/>
              </w:rPr>
            </w:pPr>
            <w:r w:rsidRPr="00D354F9">
              <w:rPr>
                <w:rFonts w:cstheme="minorHAnsi"/>
                <w:sz w:val="20"/>
                <w:szCs w:val="20"/>
              </w:rPr>
              <w:t>97</w:t>
            </w:r>
          </w:p>
        </w:tc>
        <w:tc>
          <w:tcPr>
            <w:tcW w:w="287" w:type="pct"/>
            <w:vAlign w:val="center"/>
          </w:tcPr>
          <w:p w14:paraId="60F7E298" w14:textId="77777777" w:rsidR="00A90F30" w:rsidRPr="00D354F9" w:rsidRDefault="00A90F30" w:rsidP="005A1CEA">
            <w:pPr>
              <w:ind w:left="-15" w:right="-42"/>
              <w:jc w:val="center"/>
              <w:rPr>
                <w:rFonts w:cstheme="minorHAnsi"/>
                <w:sz w:val="20"/>
                <w:szCs w:val="20"/>
              </w:rPr>
            </w:pPr>
            <w:r w:rsidRPr="00D354F9">
              <w:rPr>
                <w:rFonts w:cstheme="minorHAnsi"/>
                <w:sz w:val="20"/>
                <w:szCs w:val="20"/>
              </w:rPr>
              <w:t>98</w:t>
            </w:r>
          </w:p>
        </w:tc>
        <w:tc>
          <w:tcPr>
            <w:tcW w:w="287" w:type="pct"/>
            <w:vAlign w:val="center"/>
          </w:tcPr>
          <w:p w14:paraId="20BCDC7A"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105</w:t>
            </w:r>
          </w:p>
        </w:tc>
        <w:tc>
          <w:tcPr>
            <w:tcW w:w="287" w:type="pct"/>
            <w:vAlign w:val="center"/>
          </w:tcPr>
          <w:p w14:paraId="08630672"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112</w:t>
            </w:r>
          </w:p>
        </w:tc>
        <w:tc>
          <w:tcPr>
            <w:tcW w:w="287" w:type="pct"/>
            <w:vAlign w:val="center"/>
          </w:tcPr>
          <w:p w14:paraId="59FAF9E3"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120</w:t>
            </w:r>
          </w:p>
        </w:tc>
        <w:tc>
          <w:tcPr>
            <w:tcW w:w="287" w:type="pct"/>
            <w:vAlign w:val="center"/>
          </w:tcPr>
          <w:p w14:paraId="0C515555" w14:textId="77777777" w:rsidR="00A90F30" w:rsidRPr="00D354F9" w:rsidRDefault="00A90F30" w:rsidP="005A1CEA">
            <w:pPr>
              <w:ind w:left="-15" w:right="-42"/>
              <w:jc w:val="center"/>
              <w:rPr>
                <w:rFonts w:cstheme="minorHAnsi"/>
                <w:sz w:val="20"/>
                <w:szCs w:val="20"/>
              </w:rPr>
            </w:pPr>
            <w:r w:rsidRPr="00D354F9">
              <w:rPr>
                <w:rFonts w:cstheme="minorHAnsi"/>
                <w:sz w:val="20"/>
                <w:szCs w:val="20"/>
              </w:rPr>
              <w:t>128</w:t>
            </w:r>
          </w:p>
        </w:tc>
      </w:tr>
    </w:tbl>
    <w:p w14:paraId="31BDBA85" w14:textId="56A952F6" w:rsidR="00A90F30" w:rsidRDefault="00A90F30" w:rsidP="00E239C2">
      <w:pPr>
        <w:jc w:val="both"/>
        <w:rPr>
          <w:rFonts w:cstheme="minorHAnsi"/>
          <w:sz w:val="24"/>
          <w:szCs w:val="24"/>
          <w:lang w:val="en-US"/>
        </w:rPr>
      </w:pPr>
    </w:p>
    <w:p w14:paraId="38E08E9E" w14:textId="77777777" w:rsidR="00A90F30" w:rsidRPr="00AF391B" w:rsidRDefault="00A90F30" w:rsidP="00E239C2">
      <w:pPr>
        <w:jc w:val="both"/>
        <w:rPr>
          <w:rFonts w:cstheme="minorHAnsi"/>
          <w:sz w:val="24"/>
          <w:szCs w:val="24"/>
          <w:lang w:val="en-US"/>
        </w:rPr>
      </w:pPr>
    </w:p>
    <w:p w14:paraId="23D33B43" w14:textId="21899765" w:rsidR="00E239C2" w:rsidRPr="00AF391B" w:rsidRDefault="00E239C2" w:rsidP="00E239C2">
      <w:pPr>
        <w:jc w:val="both"/>
        <w:rPr>
          <w:rFonts w:cstheme="minorHAnsi"/>
          <w:sz w:val="24"/>
          <w:szCs w:val="24"/>
          <w:lang w:val="en-US"/>
        </w:rPr>
      </w:pPr>
    </w:p>
    <w:p w14:paraId="6D2CA558" w14:textId="77777777" w:rsidR="00E239C2" w:rsidRPr="00AF391B" w:rsidRDefault="00E239C2" w:rsidP="009F1AEB">
      <w:pPr>
        <w:jc w:val="both"/>
        <w:rPr>
          <w:rFonts w:cstheme="minorHAnsi"/>
          <w:b/>
          <w:bCs/>
          <w:i/>
          <w:iCs/>
          <w:sz w:val="24"/>
          <w:szCs w:val="24"/>
          <w:lang w:val="en-US"/>
        </w:rPr>
      </w:pPr>
      <w:r w:rsidRPr="00AF391B">
        <w:rPr>
          <w:rFonts w:cstheme="minorHAnsi"/>
          <w:b/>
          <w:bCs/>
          <w:i/>
          <w:iCs/>
          <w:sz w:val="24"/>
          <w:szCs w:val="24"/>
          <w:lang w:val="en-US"/>
        </w:rPr>
        <w:t>Dimension Energy Security</w:t>
      </w:r>
    </w:p>
    <w:p w14:paraId="64D001D9" w14:textId="77777777" w:rsidR="00590752" w:rsidRPr="00AF391B" w:rsidRDefault="00590752" w:rsidP="00590752">
      <w:pPr>
        <w:jc w:val="both"/>
        <w:rPr>
          <w:rFonts w:cstheme="minorHAnsi"/>
          <w:noProof/>
          <w:sz w:val="24"/>
          <w:szCs w:val="24"/>
          <w:lang w:val="en-US"/>
        </w:rPr>
      </w:pPr>
      <w:r w:rsidRPr="00AF391B">
        <w:rPr>
          <w:rFonts w:cstheme="minorHAnsi"/>
          <w:noProof/>
          <w:sz w:val="24"/>
          <w:szCs w:val="24"/>
          <w:lang w:val="en-US"/>
        </w:rPr>
        <w:t>In 2020 the Republic of Moldova provided its own needs of energy resources by only 22%. This level decreased over the period from 2016 to 2020 by 2 percentage points. The share of imported energy increased due to the growth of imports resulting from an increase in consumption, but is also due to a reduction in the production of local resources.</w:t>
      </w:r>
    </w:p>
    <w:p w14:paraId="1AE3DCCB" w14:textId="77777777" w:rsidR="00E02794" w:rsidRPr="00AF391B" w:rsidRDefault="00E239C2" w:rsidP="009F1AEB">
      <w:pPr>
        <w:jc w:val="both"/>
        <w:rPr>
          <w:rFonts w:cstheme="minorHAnsi"/>
          <w:sz w:val="24"/>
          <w:szCs w:val="24"/>
          <w:lang w:val="en-US"/>
        </w:rPr>
      </w:pPr>
      <w:r w:rsidRPr="00AF391B">
        <w:rPr>
          <w:rFonts w:cstheme="minorHAnsi"/>
          <w:sz w:val="24"/>
          <w:szCs w:val="24"/>
          <w:lang w:val="en-US"/>
        </w:rPr>
        <w:t>In this section</w:t>
      </w:r>
      <w:r w:rsidR="00590752" w:rsidRPr="00AF391B">
        <w:rPr>
          <w:rFonts w:cstheme="minorHAnsi"/>
          <w:sz w:val="24"/>
          <w:szCs w:val="24"/>
          <w:lang w:val="en-US"/>
        </w:rPr>
        <w:t>,</w:t>
      </w:r>
      <w:r w:rsidRPr="00AF391B">
        <w:rPr>
          <w:rFonts w:cstheme="minorHAnsi"/>
          <w:sz w:val="24"/>
          <w:szCs w:val="24"/>
          <w:lang w:val="en-US"/>
        </w:rPr>
        <w:t xml:space="preserve"> current data on the energy import dependency as well as on the energy production mix</w:t>
      </w:r>
      <w:r w:rsidR="002B79AC" w:rsidRPr="00AF391B">
        <w:rPr>
          <w:rFonts w:cstheme="minorHAnsi"/>
          <w:sz w:val="24"/>
          <w:szCs w:val="24"/>
          <w:lang w:val="en-US"/>
        </w:rPr>
        <w:t>, primary consumption mix (by types of energy sources and by destination of primary energy consumed), and transformation energy mix are presented. Projections until the year 2050 have been calculated for such indicators, as energy import dependency, primary production (by types of energy sources), imports, exports, and transformation input for the electricity sector.</w:t>
      </w:r>
    </w:p>
    <w:p w14:paraId="329A0DFF" w14:textId="23862415" w:rsidR="00F76116" w:rsidRDefault="00F76116" w:rsidP="009F1AEB">
      <w:pPr>
        <w:jc w:val="both"/>
        <w:rPr>
          <w:rFonts w:cstheme="minorHAnsi"/>
          <w:noProof/>
          <w:sz w:val="24"/>
          <w:szCs w:val="24"/>
          <w:lang w:val="en-US"/>
        </w:rPr>
      </w:pPr>
      <w:r w:rsidRPr="00AF391B">
        <w:rPr>
          <w:rFonts w:cstheme="minorHAnsi"/>
          <w:noProof/>
          <w:sz w:val="24"/>
          <w:szCs w:val="24"/>
          <w:lang w:val="en-US"/>
        </w:rPr>
        <w:t>Energy dependence increased between 2016 and 2020, but it is expected to start to decline and reach a minimum in 2035 – 2040. The reduction is achieved by reducing imports while stabilizing consumption. The growth of energy dependence values in subsequent years (2040 – 2050) is associated with the growth of consumption at a higher rate than the growth of own production.</w:t>
      </w:r>
      <w:r w:rsidR="00A90F30">
        <w:rPr>
          <w:rFonts w:cstheme="minorHAnsi"/>
          <w:noProof/>
          <w:sz w:val="24"/>
          <w:szCs w:val="24"/>
          <w:lang w:val="en-US"/>
        </w:rPr>
        <w:t xml:space="preserve"> These evolutions are presented in Figure 4 below:</w:t>
      </w:r>
    </w:p>
    <w:p w14:paraId="134AF258" w14:textId="77777777" w:rsidR="00A90F30" w:rsidRDefault="00A90F30" w:rsidP="00A90F30">
      <w:pPr>
        <w:keepNext/>
        <w:ind w:firstLine="426"/>
        <w:jc w:val="both"/>
      </w:pPr>
      <w:r>
        <w:rPr>
          <w:noProof/>
          <w:lang w:val="en-GB" w:eastAsia="en-GB"/>
        </w:rPr>
        <w:lastRenderedPageBreak/>
        <w:drawing>
          <wp:inline distT="0" distB="0" distL="0" distR="0" wp14:anchorId="56E9BB5B" wp14:editId="5FC57E54">
            <wp:extent cx="5690945" cy="4034861"/>
            <wp:effectExtent l="0" t="0" r="5080" b="3810"/>
            <wp:docPr id="1927220377" name="Диаграмма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3FE2BA" w14:textId="533B18F9" w:rsidR="00A90F30" w:rsidRPr="00774E29" w:rsidRDefault="00A90F30" w:rsidP="00A90F30">
      <w:pPr>
        <w:pStyle w:val="Caption"/>
        <w:jc w:val="center"/>
        <w:rPr>
          <w:rFonts w:cstheme="minorHAnsi"/>
          <w:b/>
          <w:bCs/>
          <w:noProof/>
          <w:color w:val="auto"/>
          <w:sz w:val="24"/>
          <w:szCs w:val="20"/>
          <w:lang w:val="en-US"/>
        </w:rPr>
      </w:pPr>
      <w:bookmarkStart w:id="10" w:name="_Toc153298757"/>
      <w:r w:rsidRPr="00774E29">
        <w:rPr>
          <w:rFonts w:cstheme="minorHAnsi"/>
          <w:color w:val="auto"/>
          <w:sz w:val="24"/>
          <w:szCs w:val="20"/>
          <w:lang w:val="en-US"/>
        </w:rPr>
        <w:t xml:space="preserve">Figure </w:t>
      </w:r>
      <w:r w:rsidRPr="00774E29">
        <w:rPr>
          <w:rFonts w:cstheme="minorHAnsi"/>
          <w:color w:val="auto"/>
          <w:sz w:val="24"/>
          <w:szCs w:val="20"/>
          <w:lang w:val="en-US"/>
        </w:rPr>
        <w:fldChar w:fldCharType="begin"/>
      </w:r>
      <w:r w:rsidRPr="00774E29">
        <w:rPr>
          <w:rFonts w:cstheme="minorHAnsi"/>
          <w:color w:val="auto"/>
          <w:sz w:val="24"/>
          <w:szCs w:val="20"/>
          <w:lang w:val="en-US"/>
        </w:rPr>
        <w:instrText xml:space="preserve"> SEQ Figure \* ARABIC </w:instrText>
      </w:r>
      <w:r w:rsidRPr="00774E29">
        <w:rPr>
          <w:rFonts w:cstheme="minorHAnsi"/>
          <w:color w:val="auto"/>
          <w:sz w:val="24"/>
          <w:szCs w:val="20"/>
          <w:lang w:val="en-US"/>
        </w:rPr>
        <w:fldChar w:fldCharType="separate"/>
      </w:r>
      <w:r w:rsidRPr="00774E29">
        <w:rPr>
          <w:rFonts w:cstheme="minorHAnsi"/>
          <w:noProof/>
          <w:color w:val="auto"/>
          <w:sz w:val="24"/>
          <w:szCs w:val="20"/>
          <w:lang w:val="en-US"/>
        </w:rPr>
        <w:t>4</w:t>
      </w:r>
      <w:r w:rsidRPr="00774E29">
        <w:rPr>
          <w:rFonts w:cstheme="minorHAnsi"/>
          <w:color w:val="auto"/>
          <w:sz w:val="24"/>
          <w:szCs w:val="20"/>
          <w:lang w:val="en-US"/>
        </w:rPr>
        <w:fldChar w:fldCharType="end"/>
      </w:r>
      <w:r w:rsidRPr="00774E29">
        <w:rPr>
          <w:rFonts w:cstheme="minorHAnsi"/>
          <w:color w:val="auto"/>
          <w:sz w:val="24"/>
          <w:szCs w:val="20"/>
          <w:lang w:val="en-US"/>
        </w:rPr>
        <w:t>. Projections of energy import dependency in the period 2016 – 2050</w:t>
      </w:r>
      <w:bookmarkEnd w:id="10"/>
    </w:p>
    <w:p w14:paraId="008CCEB8" w14:textId="77777777" w:rsidR="00A90F30" w:rsidRDefault="00A90F30" w:rsidP="009F1AEB">
      <w:pPr>
        <w:jc w:val="both"/>
        <w:rPr>
          <w:rFonts w:cstheme="minorHAnsi"/>
          <w:sz w:val="24"/>
          <w:szCs w:val="24"/>
          <w:lang w:val="en-US"/>
        </w:rPr>
      </w:pPr>
      <w:r>
        <w:rPr>
          <w:rFonts w:cstheme="minorHAnsi"/>
          <w:sz w:val="24"/>
          <w:szCs w:val="24"/>
          <w:lang w:val="en-US"/>
        </w:rPr>
        <w:t>Evolutions of energy dependency by types of energy sources for the period 2016 – 2050 are shown on Figure 5 below:</w:t>
      </w:r>
    </w:p>
    <w:p w14:paraId="068BD56F" w14:textId="77777777" w:rsidR="00A90F30" w:rsidRDefault="00A90F30" w:rsidP="009F1AEB">
      <w:pPr>
        <w:jc w:val="both"/>
        <w:rPr>
          <w:rFonts w:cstheme="minorHAnsi"/>
          <w:sz w:val="24"/>
          <w:szCs w:val="24"/>
          <w:lang w:val="en-US"/>
        </w:rPr>
      </w:pPr>
    </w:p>
    <w:p w14:paraId="19DA3F74" w14:textId="2E50CC14" w:rsidR="00A90F30" w:rsidRDefault="00A90F30" w:rsidP="009F1AEB">
      <w:pPr>
        <w:jc w:val="both"/>
        <w:rPr>
          <w:rFonts w:cstheme="minorHAnsi"/>
          <w:sz w:val="24"/>
          <w:szCs w:val="24"/>
          <w:lang w:val="en-US"/>
        </w:rPr>
      </w:pPr>
    </w:p>
    <w:p w14:paraId="00EFABAD" w14:textId="77777777" w:rsidR="00673C58" w:rsidRDefault="00673C58" w:rsidP="00673C58">
      <w:pPr>
        <w:keepNext/>
        <w:ind w:firstLine="709"/>
        <w:jc w:val="center"/>
      </w:pPr>
      <w:r>
        <w:rPr>
          <w:noProof/>
          <w:lang w:val="en-GB" w:eastAsia="en-GB"/>
        </w:rPr>
        <w:lastRenderedPageBreak/>
        <w:drawing>
          <wp:inline distT="0" distB="0" distL="0" distR="0" wp14:anchorId="75FD2872" wp14:editId="0C05829B">
            <wp:extent cx="5667154" cy="3083442"/>
            <wp:effectExtent l="0" t="0" r="10160" b="3175"/>
            <wp:docPr id="1798674076" name="Диаграмма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E6B73B6E-02C7-2C3E-88AB-DC0104D74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99BD3B" w14:textId="4A508337" w:rsidR="00673C58" w:rsidRPr="00774E29" w:rsidRDefault="00673C58" w:rsidP="00673C58">
      <w:pPr>
        <w:pStyle w:val="Caption"/>
        <w:jc w:val="center"/>
        <w:rPr>
          <w:rFonts w:cstheme="minorHAnsi"/>
          <w:b/>
          <w:bCs/>
          <w:color w:val="auto"/>
          <w:sz w:val="24"/>
          <w:szCs w:val="20"/>
          <w:lang w:val="en-US"/>
        </w:rPr>
      </w:pPr>
      <w:bookmarkStart w:id="11" w:name="_Toc153298758"/>
      <w:r w:rsidRPr="00774E29">
        <w:rPr>
          <w:rFonts w:cstheme="minorHAnsi"/>
          <w:color w:val="auto"/>
          <w:sz w:val="24"/>
          <w:szCs w:val="20"/>
          <w:lang w:val="en-US"/>
        </w:rPr>
        <w:t xml:space="preserve">Figure </w:t>
      </w:r>
      <w:r>
        <w:rPr>
          <w:rFonts w:cstheme="minorHAnsi"/>
          <w:color w:val="auto"/>
          <w:sz w:val="24"/>
          <w:szCs w:val="20"/>
          <w:lang w:val="en-US"/>
        </w:rPr>
        <w:t>5</w:t>
      </w:r>
      <w:r w:rsidRPr="00774E29">
        <w:rPr>
          <w:rFonts w:cstheme="minorHAnsi"/>
          <w:noProof/>
          <w:color w:val="auto"/>
          <w:sz w:val="24"/>
          <w:szCs w:val="20"/>
          <w:lang w:val="en-US"/>
        </w:rPr>
        <w:t xml:space="preserve">. Projections of </w:t>
      </w:r>
      <w:r w:rsidRPr="00774E29">
        <w:rPr>
          <w:rFonts w:cstheme="minorHAnsi"/>
          <w:color w:val="auto"/>
          <w:sz w:val="24"/>
          <w:szCs w:val="20"/>
          <w:lang w:val="en-US"/>
        </w:rPr>
        <w:t>energy dependency, by types of energy sources, for the period 2020 – 2050</w:t>
      </w:r>
      <w:bookmarkEnd w:id="11"/>
      <w:r w:rsidRPr="00774E29">
        <w:rPr>
          <w:rFonts w:cstheme="minorHAnsi"/>
          <w:color w:val="auto"/>
          <w:sz w:val="24"/>
          <w:szCs w:val="20"/>
          <w:lang w:val="en-US"/>
        </w:rPr>
        <w:t xml:space="preserve"> </w:t>
      </w:r>
    </w:p>
    <w:p w14:paraId="6C22EF80" w14:textId="412A49C5" w:rsidR="00A90F30" w:rsidRPr="00A90F30" w:rsidRDefault="00A90F30" w:rsidP="009F1AEB">
      <w:pPr>
        <w:jc w:val="both"/>
        <w:rPr>
          <w:rFonts w:cstheme="minorHAnsi"/>
          <w:sz w:val="24"/>
          <w:szCs w:val="24"/>
          <w:lang w:val="en-US"/>
        </w:rPr>
      </w:pPr>
      <w:r w:rsidRPr="00774E29">
        <w:rPr>
          <w:rFonts w:cstheme="minorHAnsi"/>
          <w:noProof/>
          <w:sz w:val="24"/>
          <w:szCs w:val="24"/>
          <w:lang w:val="en-US"/>
        </w:rPr>
        <w:t>The reduction in dependence on imports of electrical energy is associated with the growth of internal production capacities, the rate of which is expected to exceed the growth in consumption. At the same time, to a large extent, the growth in production is associated with an increase in the use of renewable energy sources.</w:t>
      </w:r>
      <w:r w:rsidRPr="00A90F30">
        <w:rPr>
          <w:rFonts w:cstheme="minorHAnsi"/>
          <w:sz w:val="24"/>
          <w:szCs w:val="24"/>
          <w:lang w:val="en-US"/>
        </w:rPr>
        <w:t xml:space="preserve"> </w:t>
      </w:r>
    </w:p>
    <w:p w14:paraId="37C4BF95" w14:textId="77777777" w:rsidR="002B79AC" w:rsidRPr="00AF391B" w:rsidRDefault="002B79AC" w:rsidP="009F1AEB">
      <w:pPr>
        <w:jc w:val="both"/>
        <w:rPr>
          <w:rFonts w:cstheme="minorHAnsi"/>
          <w:b/>
          <w:bCs/>
          <w:i/>
          <w:iCs/>
          <w:sz w:val="24"/>
          <w:szCs w:val="24"/>
          <w:lang w:val="en-US"/>
        </w:rPr>
      </w:pPr>
      <w:r w:rsidRPr="00AF391B">
        <w:rPr>
          <w:rFonts w:cstheme="minorHAnsi"/>
          <w:b/>
          <w:bCs/>
          <w:i/>
          <w:iCs/>
          <w:sz w:val="24"/>
          <w:szCs w:val="24"/>
          <w:lang w:val="en-US"/>
        </w:rPr>
        <w:t>Dimension Internal Energy Market</w:t>
      </w:r>
    </w:p>
    <w:p w14:paraId="11F69338" w14:textId="45FFD9D9" w:rsidR="00C15761" w:rsidRPr="00AF391B" w:rsidRDefault="002B79AC" w:rsidP="009F1AEB">
      <w:pPr>
        <w:jc w:val="both"/>
        <w:rPr>
          <w:rFonts w:eastAsia="Times New Roman" w:cstheme="minorHAnsi"/>
          <w:kern w:val="36"/>
          <w:sz w:val="24"/>
          <w:szCs w:val="24"/>
          <w:lang w:val="en-US" w:eastAsia="ru-RU"/>
        </w:rPr>
      </w:pPr>
      <w:r w:rsidRPr="00AF391B">
        <w:rPr>
          <w:rFonts w:cstheme="minorHAnsi"/>
          <w:sz w:val="24"/>
          <w:szCs w:val="24"/>
          <w:lang w:val="en-US"/>
        </w:rPr>
        <w:t xml:space="preserve">This chapter contains projections </w:t>
      </w:r>
      <w:r w:rsidR="00034A8D">
        <w:rPr>
          <w:rFonts w:cstheme="minorHAnsi"/>
          <w:sz w:val="24"/>
          <w:szCs w:val="24"/>
          <w:lang w:val="en-US"/>
        </w:rPr>
        <w:t xml:space="preserve">related to the </w:t>
      </w:r>
      <w:r w:rsidRPr="00AF391B">
        <w:rPr>
          <w:rFonts w:cstheme="minorHAnsi"/>
          <w:sz w:val="24"/>
          <w:szCs w:val="24"/>
          <w:lang w:val="en-US"/>
        </w:rPr>
        <w:t xml:space="preserve">expansion </w:t>
      </w:r>
      <w:r w:rsidR="00034A8D">
        <w:rPr>
          <w:rFonts w:cstheme="minorHAnsi"/>
          <w:sz w:val="24"/>
          <w:szCs w:val="24"/>
          <w:lang w:val="en-US"/>
        </w:rPr>
        <w:t xml:space="preserve">of interconnections and adjacent </w:t>
      </w:r>
      <w:r w:rsidRPr="00AF391B">
        <w:rPr>
          <w:rFonts w:cstheme="minorHAnsi"/>
          <w:sz w:val="24"/>
          <w:szCs w:val="24"/>
          <w:lang w:val="en-US"/>
        </w:rPr>
        <w:t xml:space="preserve">requirements up to 2030 </w:t>
      </w:r>
      <w:r w:rsidR="00C15761" w:rsidRPr="00AF391B">
        <w:rPr>
          <w:rFonts w:cstheme="minorHAnsi"/>
          <w:sz w:val="24"/>
          <w:szCs w:val="24"/>
          <w:lang w:val="en-US"/>
        </w:rPr>
        <w:t>that will be needed i</w:t>
      </w:r>
      <w:r w:rsidRPr="00AF391B">
        <w:rPr>
          <w:rFonts w:cstheme="minorHAnsi"/>
          <w:sz w:val="24"/>
          <w:szCs w:val="24"/>
          <w:lang w:val="en-US"/>
        </w:rPr>
        <w:t xml:space="preserve">n order to meet the needs </w:t>
      </w:r>
      <w:r w:rsidR="00C15761" w:rsidRPr="00AF391B">
        <w:rPr>
          <w:rFonts w:cstheme="minorHAnsi"/>
          <w:sz w:val="24"/>
          <w:szCs w:val="24"/>
          <w:lang w:val="en-US"/>
        </w:rPr>
        <w:t>of electricity interconnectivity. Thus, the i</w:t>
      </w:r>
      <w:r w:rsidR="00C15761" w:rsidRPr="00AF391B">
        <w:rPr>
          <w:rFonts w:eastAsia="Times New Roman" w:cstheme="minorHAnsi"/>
          <w:iCs/>
          <w:kern w:val="36"/>
          <w:sz w:val="24"/>
          <w:szCs w:val="24"/>
          <w:lang w:val="en-US" w:eastAsia="ru-RU"/>
        </w:rPr>
        <w:t>nstalled renewable generation capacity</w:t>
      </w:r>
      <w:r w:rsidR="00C15761" w:rsidRPr="00AF391B">
        <w:rPr>
          <w:rFonts w:eastAsia="Times New Roman" w:cstheme="minorHAnsi"/>
          <w:kern w:val="36"/>
          <w:sz w:val="24"/>
          <w:szCs w:val="24"/>
          <w:lang w:val="en-US" w:eastAsia="ru-RU"/>
        </w:rPr>
        <w:t xml:space="preserve"> (hydro, wind and PV) is supposed to increase from 44 MW in 2016 to 579 MW in 2050 (WEM Scenario) and up to 3’659 MW (WPM Scenario). </w:t>
      </w:r>
    </w:p>
    <w:p w14:paraId="3B7A87E3" w14:textId="77777777" w:rsidR="00AB0FEE" w:rsidRPr="00AF391B" w:rsidRDefault="00C15761" w:rsidP="009F1AEB">
      <w:pPr>
        <w:jc w:val="both"/>
        <w:rPr>
          <w:rFonts w:cstheme="minorHAnsi"/>
          <w:sz w:val="24"/>
          <w:szCs w:val="24"/>
          <w:lang w:val="en-US"/>
        </w:rPr>
      </w:pPr>
      <w:r w:rsidRPr="00AF391B">
        <w:rPr>
          <w:rFonts w:cstheme="minorHAnsi"/>
          <w:sz w:val="24"/>
          <w:szCs w:val="24"/>
          <w:lang w:val="en-US"/>
        </w:rPr>
        <w:t>Similarly, projections o</w:t>
      </w:r>
      <w:r w:rsidR="002B79AC" w:rsidRPr="00AF391B">
        <w:rPr>
          <w:rFonts w:cstheme="minorHAnsi"/>
          <w:sz w:val="24"/>
          <w:szCs w:val="24"/>
          <w:lang w:val="en-US"/>
        </w:rPr>
        <w:t>f network expansion requirements until at least 2040</w:t>
      </w:r>
      <w:r w:rsidRPr="00AF391B">
        <w:rPr>
          <w:rFonts w:cstheme="minorHAnsi"/>
          <w:sz w:val="24"/>
          <w:szCs w:val="24"/>
          <w:lang w:val="en-US"/>
        </w:rPr>
        <w:t xml:space="preserve"> are intended to fulfill the future needs of the energy transmission infrastructure.</w:t>
      </w:r>
    </w:p>
    <w:p w14:paraId="66BBE04F" w14:textId="77777777" w:rsidR="00AB0FEE" w:rsidRPr="00AF391B" w:rsidRDefault="009F1AEB" w:rsidP="009F1AEB">
      <w:pPr>
        <w:jc w:val="both"/>
        <w:rPr>
          <w:rFonts w:cstheme="minorHAnsi"/>
          <w:sz w:val="24"/>
          <w:szCs w:val="24"/>
          <w:lang w:val="en-US"/>
        </w:rPr>
      </w:pPr>
      <w:r w:rsidRPr="00AF391B">
        <w:rPr>
          <w:rFonts w:cstheme="minorHAnsi"/>
          <w:sz w:val="24"/>
          <w:szCs w:val="24"/>
          <w:lang w:val="en-US"/>
        </w:rPr>
        <w:t>Following a brief analysis of the current situation of the electricity and gas markets (including energy prices), projections of development with existing policies and measures until at least 2040 are presented. These include forecasts of energy sector indicators, such as: electricity and heat consumption per inhabitant (WEM scenario), share of renewable energy in total electricity production and supply (WEM scenario), average electricity generation costs, installed capacity per technology, and electricity network losses (in WEM and WPM scenarios).</w:t>
      </w:r>
    </w:p>
    <w:p w14:paraId="50993687" w14:textId="77777777" w:rsidR="009F1AEB" w:rsidRPr="00AF391B" w:rsidRDefault="009F1AEB" w:rsidP="009F1AEB">
      <w:pPr>
        <w:spacing w:after="120" w:line="276" w:lineRule="auto"/>
        <w:jc w:val="both"/>
        <w:rPr>
          <w:rFonts w:eastAsia="Times New Roman" w:cstheme="minorHAnsi"/>
          <w:iCs/>
          <w:color w:val="000000" w:themeColor="text1"/>
          <w:kern w:val="36"/>
          <w:sz w:val="24"/>
          <w:szCs w:val="24"/>
          <w:lang w:val="en-US" w:eastAsia="ru-RU"/>
        </w:rPr>
      </w:pPr>
      <w:r w:rsidRPr="00AF391B">
        <w:rPr>
          <w:rFonts w:eastAsia="Times New Roman" w:cstheme="minorHAnsi"/>
          <w:iCs/>
          <w:color w:val="000000" w:themeColor="text1"/>
          <w:kern w:val="36"/>
          <w:sz w:val="24"/>
          <w:szCs w:val="24"/>
          <w:lang w:val="en-US" w:eastAsia="ru-RU"/>
        </w:rPr>
        <w:t xml:space="preserve">The average price of electricity </w:t>
      </w:r>
      <w:r w:rsidRPr="00AF391B">
        <w:rPr>
          <w:rFonts w:eastAsia="Times New Roman" w:cstheme="minorHAnsi"/>
          <w:color w:val="000000" w:themeColor="text1"/>
          <w:kern w:val="36"/>
          <w:sz w:val="24"/>
          <w:szCs w:val="24"/>
          <w:lang w:val="en-US" w:eastAsia="ru-RU"/>
        </w:rPr>
        <w:t>produced</w:t>
      </w:r>
      <w:r w:rsidRPr="00AF391B">
        <w:rPr>
          <w:rFonts w:eastAsia="Times New Roman" w:cstheme="minorHAnsi"/>
          <w:iCs/>
          <w:color w:val="000000" w:themeColor="text1"/>
          <w:kern w:val="36"/>
          <w:sz w:val="24"/>
          <w:szCs w:val="24"/>
          <w:lang w:val="en-US" w:eastAsia="ru-RU"/>
        </w:rPr>
        <w:t xml:space="preserve"> </w:t>
      </w:r>
      <w:r w:rsidRPr="00AF391B">
        <w:rPr>
          <w:rFonts w:eastAsia="Times New Roman" w:cstheme="minorHAnsi"/>
          <w:color w:val="000000" w:themeColor="text1"/>
          <w:kern w:val="36"/>
          <w:sz w:val="24"/>
          <w:szCs w:val="24"/>
          <w:lang w:val="en-US" w:eastAsia="ru-RU"/>
        </w:rPr>
        <w:t>by various technologies that are expected in the year 2050 (WEM Scenario) are</w:t>
      </w:r>
      <w:r w:rsidRPr="00AF391B">
        <w:rPr>
          <w:rFonts w:eastAsia="Times New Roman" w:cstheme="minorHAnsi"/>
          <w:iCs/>
          <w:color w:val="000000" w:themeColor="text1"/>
          <w:kern w:val="36"/>
          <w:sz w:val="24"/>
          <w:szCs w:val="24"/>
          <w:lang w:val="en-US" w:eastAsia="ru-RU"/>
        </w:rPr>
        <w:t>:</w:t>
      </w:r>
    </w:p>
    <w:p w14:paraId="20CDAE3D" w14:textId="77777777" w:rsidR="009F1AEB" w:rsidRPr="00AF391B" w:rsidRDefault="009F1AEB" w:rsidP="00B6327C">
      <w:pPr>
        <w:pStyle w:val="ListParagraph"/>
        <w:numPr>
          <w:ilvl w:val="0"/>
          <w:numId w:val="13"/>
        </w:numPr>
        <w:spacing w:after="0" w:line="276" w:lineRule="auto"/>
        <w:jc w:val="both"/>
        <w:rPr>
          <w:rFonts w:eastAsia="Times New Roman" w:cstheme="minorHAnsi"/>
          <w:color w:val="000000" w:themeColor="text1"/>
          <w:kern w:val="36"/>
          <w:sz w:val="24"/>
          <w:szCs w:val="24"/>
          <w:lang w:eastAsia="ru-RU"/>
        </w:rPr>
      </w:pPr>
      <w:r w:rsidRPr="00AF391B">
        <w:rPr>
          <w:rFonts w:eastAsia="Times New Roman" w:cstheme="minorHAnsi"/>
          <w:iCs/>
          <w:color w:val="000000" w:themeColor="text1"/>
          <w:kern w:val="36"/>
          <w:sz w:val="24"/>
          <w:szCs w:val="24"/>
          <w:lang w:eastAsia="ru-RU"/>
        </w:rPr>
        <w:t xml:space="preserve">Biomass/biogas CHP: </w:t>
      </w:r>
      <w:r w:rsidRPr="00AF391B">
        <w:rPr>
          <w:rFonts w:eastAsia="Times New Roman" w:cstheme="minorHAnsi"/>
          <w:color w:val="000000" w:themeColor="text1"/>
          <w:kern w:val="36"/>
          <w:sz w:val="24"/>
          <w:szCs w:val="24"/>
          <w:lang w:eastAsia="ru-RU"/>
        </w:rPr>
        <w:t>0.10–0.21 EUR/kWh</w:t>
      </w:r>
    </w:p>
    <w:p w14:paraId="0DA221CC" w14:textId="77777777" w:rsidR="009F1AEB" w:rsidRPr="00AF391B" w:rsidRDefault="009F1AEB" w:rsidP="00B6327C">
      <w:pPr>
        <w:pStyle w:val="ListParagraph"/>
        <w:numPr>
          <w:ilvl w:val="0"/>
          <w:numId w:val="13"/>
        </w:numPr>
        <w:spacing w:after="0" w:line="276" w:lineRule="auto"/>
        <w:jc w:val="both"/>
        <w:rPr>
          <w:rFonts w:eastAsia="Times New Roman" w:cstheme="minorHAnsi"/>
          <w:color w:val="000000" w:themeColor="text1"/>
          <w:kern w:val="36"/>
          <w:sz w:val="24"/>
          <w:szCs w:val="24"/>
          <w:lang w:eastAsia="ru-RU"/>
        </w:rPr>
      </w:pPr>
      <w:r w:rsidRPr="00AF391B">
        <w:rPr>
          <w:rFonts w:eastAsia="Times New Roman" w:cstheme="minorHAnsi"/>
          <w:iCs/>
          <w:color w:val="000000" w:themeColor="text1"/>
          <w:kern w:val="36"/>
          <w:sz w:val="24"/>
          <w:szCs w:val="24"/>
          <w:lang w:eastAsia="ru-RU"/>
        </w:rPr>
        <w:t>Natural Gas CHP:</w:t>
      </w:r>
      <w:r w:rsidRPr="00AF391B">
        <w:rPr>
          <w:rFonts w:eastAsia="Times New Roman" w:cstheme="minorHAnsi"/>
          <w:color w:val="000000" w:themeColor="text1"/>
          <w:kern w:val="36"/>
          <w:sz w:val="24"/>
          <w:szCs w:val="24"/>
          <w:lang w:eastAsia="ru-RU"/>
        </w:rPr>
        <w:t xml:space="preserve"> 0.01 EUR/kWh</w:t>
      </w:r>
    </w:p>
    <w:p w14:paraId="1FF7351A" w14:textId="77777777" w:rsidR="009F1AEB" w:rsidRPr="00AF391B" w:rsidRDefault="009F1AEB" w:rsidP="00B6327C">
      <w:pPr>
        <w:pStyle w:val="ListParagraph"/>
        <w:numPr>
          <w:ilvl w:val="0"/>
          <w:numId w:val="13"/>
        </w:numPr>
        <w:spacing w:after="0" w:line="276" w:lineRule="auto"/>
        <w:jc w:val="both"/>
        <w:rPr>
          <w:rFonts w:eastAsia="Times New Roman" w:cstheme="minorHAnsi"/>
          <w:color w:val="000000" w:themeColor="text1"/>
          <w:kern w:val="36"/>
          <w:sz w:val="24"/>
          <w:szCs w:val="24"/>
          <w:lang w:eastAsia="ru-RU"/>
        </w:rPr>
      </w:pPr>
      <w:r w:rsidRPr="00AF391B">
        <w:rPr>
          <w:rFonts w:eastAsia="Times New Roman" w:cstheme="minorHAnsi"/>
          <w:iCs/>
          <w:color w:val="000000" w:themeColor="text1"/>
          <w:kern w:val="36"/>
          <w:sz w:val="24"/>
          <w:szCs w:val="24"/>
          <w:lang w:eastAsia="ru-RU"/>
        </w:rPr>
        <w:lastRenderedPageBreak/>
        <w:t>Natural Gas power plants:</w:t>
      </w:r>
      <w:r w:rsidRPr="00AF391B">
        <w:rPr>
          <w:rFonts w:eastAsia="Times New Roman" w:cstheme="minorHAnsi"/>
          <w:color w:val="000000" w:themeColor="text1"/>
          <w:kern w:val="36"/>
          <w:sz w:val="24"/>
          <w:szCs w:val="24"/>
          <w:lang w:eastAsia="ru-RU"/>
        </w:rPr>
        <w:t xml:space="preserve"> 0.07 EUR/kWh</w:t>
      </w:r>
    </w:p>
    <w:p w14:paraId="69BCDD71" w14:textId="77777777" w:rsidR="009F1AEB" w:rsidRPr="00AF391B" w:rsidRDefault="009F1AEB" w:rsidP="00B6327C">
      <w:pPr>
        <w:pStyle w:val="ListParagraph"/>
        <w:numPr>
          <w:ilvl w:val="0"/>
          <w:numId w:val="13"/>
        </w:numPr>
        <w:spacing w:after="0" w:line="276" w:lineRule="auto"/>
        <w:jc w:val="both"/>
        <w:rPr>
          <w:rFonts w:eastAsia="Times New Roman" w:cstheme="minorHAnsi"/>
          <w:iCs/>
          <w:color w:val="000000" w:themeColor="text1"/>
          <w:kern w:val="36"/>
          <w:sz w:val="24"/>
          <w:szCs w:val="24"/>
          <w:lang w:eastAsia="ru-RU"/>
        </w:rPr>
      </w:pPr>
      <w:r w:rsidRPr="00AF391B">
        <w:rPr>
          <w:rFonts w:eastAsia="Times New Roman" w:cstheme="minorHAnsi"/>
          <w:iCs/>
          <w:color w:val="000000" w:themeColor="text1"/>
          <w:kern w:val="36"/>
          <w:sz w:val="24"/>
          <w:szCs w:val="24"/>
          <w:lang w:eastAsia="ru-RU"/>
        </w:rPr>
        <w:t>Photovoltaic systems:</w:t>
      </w:r>
      <w:r w:rsidRPr="00AF391B">
        <w:rPr>
          <w:rFonts w:eastAsia="Times New Roman" w:cstheme="minorHAnsi"/>
          <w:color w:val="000000" w:themeColor="text1"/>
          <w:kern w:val="36"/>
          <w:sz w:val="24"/>
          <w:szCs w:val="24"/>
          <w:lang w:eastAsia="ru-RU"/>
        </w:rPr>
        <w:t xml:space="preserve"> 0.052 – 0.065 EUR/kWh;</w:t>
      </w:r>
      <w:r w:rsidRPr="00AF391B">
        <w:rPr>
          <w:rFonts w:eastAsia="Times New Roman" w:cstheme="minorHAnsi"/>
          <w:iCs/>
          <w:color w:val="000000" w:themeColor="text1"/>
          <w:kern w:val="36"/>
          <w:sz w:val="24"/>
          <w:szCs w:val="24"/>
          <w:lang w:eastAsia="ru-RU"/>
        </w:rPr>
        <w:t xml:space="preserve"> </w:t>
      </w:r>
    </w:p>
    <w:p w14:paraId="0D881E55" w14:textId="77777777" w:rsidR="009F1AEB" w:rsidRPr="00AF391B" w:rsidRDefault="009F1AEB" w:rsidP="00B6327C">
      <w:pPr>
        <w:pStyle w:val="ListParagraph"/>
        <w:numPr>
          <w:ilvl w:val="0"/>
          <w:numId w:val="13"/>
        </w:numPr>
        <w:spacing w:after="0" w:line="276" w:lineRule="auto"/>
        <w:jc w:val="both"/>
        <w:rPr>
          <w:rFonts w:eastAsia="Times New Roman" w:cstheme="minorHAnsi"/>
          <w:iCs/>
          <w:color w:val="000000" w:themeColor="text1"/>
          <w:kern w:val="36"/>
          <w:sz w:val="24"/>
          <w:szCs w:val="24"/>
          <w:lang w:eastAsia="ru-RU"/>
        </w:rPr>
      </w:pPr>
      <w:r w:rsidRPr="00AF391B">
        <w:rPr>
          <w:rFonts w:eastAsia="Times New Roman" w:cstheme="minorHAnsi"/>
          <w:iCs/>
          <w:color w:val="000000" w:themeColor="text1"/>
          <w:kern w:val="36"/>
          <w:sz w:val="24"/>
          <w:szCs w:val="24"/>
          <w:lang w:eastAsia="ru-RU"/>
        </w:rPr>
        <w:t>Wind:</w:t>
      </w:r>
      <w:r w:rsidRPr="00AF391B">
        <w:rPr>
          <w:rFonts w:eastAsia="Times New Roman" w:cstheme="minorHAnsi"/>
          <w:color w:val="000000" w:themeColor="text1"/>
          <w:kern w:val="36"/>
          <w:sz w:val="24"/>
          <w:szCs w:val="24"/>
          <w:lang w:eastAsia="ru-RU"/>
        </w:rPr>
        <w:t xml:space="preserve"> 0.04 – 0.06 EUR/kWh.</w:t>
      </w:r>
    </w:p>
    <w:p w14:paraId="3A005408" w14:textId="77777777" w:rsidR="00AB0FEE" w:rsidRPr="00AF391B" w:rsidRDefault="009F1AEB" w:rsidP="009F1AEB">
      <w:pPr>
        <w:spacing w:before="120" w:line="276" w:lineRule="auto"/>
        <w:jc w:val="both"/>
        <w:rPr>
          <w:rFonts w:cstheme="minorHAnsi"/>
          <w:sz w:val="24"/>
          <w:szCs w:val="24"/>
          <w:lang w:val="en-US"/>
        </w:rPr>
      </w:pPr>
      <w:r w:rsidRPr="00AF391B">
        <w:rPr>
          <w:rFonts w:eastAsia="Times New Roman" w:cstheme="minorHAnsi"/>
          <w:iCs/>
          <w:color w:val="000000" w:themeColor="text1"/>
          <w:kern w:val="36"/>
          <w:sz w:val="24"/>
          <w:szCs w:val="24"/>
          <w:lang w:val="en-US" w:eastAsia="ru-RU"/>
        </w:rPr>
        <w:t xml:space="preserve">The average price of imported electricity </w:t>
      </w:r>
      <w:r w:rsidRPr="00AF391B">
        <w:rPr>
          <w:rFonts w:eastAsia="Times New Roman" w:cstheme="minorHAnsi"/>
          <w:color w:val="000000" w:themeColor="text1"/>
          <w:kern w:val="36"/>
          <w:sz w:val="24"/>
          <w:szCs w:val="24"/>
          <w:lang w:val="en-US" w:eastAsia="ru-RU"/>
        </w:rPr>
        <w:t xml:space="preserve">was at the level of 0.05 (2016, 2020) and is planned to attain the level of 0.08 – 0.09 EUR/kWh for both scenarios by 2050. </w:t>
      </w:r>
      <w:r w:rsidRPr="00AF391B">
        <w:rPr>
          <w:rFonts w:eastAsia="Times New Roman" w:cstheme="minorHAnsi"/>
          <w:iCs/>
          <w:color w:val="000000" w:themeColor="text1"/>
          <w:kern w:val="36"/>
          <w:sz w:val="24"/>
          <w:szCs w:val="24"/>
          <w:lang w:val="en-US" w:eastAsia="ru-RU"/>
        </w:rPr>
        <w:t xml:space="preserve">The average electricity price </w:t>
      </w:r>
      <w:r w:rsidRPr="00AF391B">
        <w:rPr>
          <w:rFonts w:eastAsia="Times New Roman" w:cstheme="minorHAnsi"/>
          <w:color w:val="000000" w:themeColor="text1"/>
          <w:kern w:val="36"/>
          <w:sz w:val="24"/>
          <w:szCs w:val="24"/>
          <w:lang w:val="en-US" w:eastAsia="ru-RU"/>
        </w:rPr>
        <w:t>will increase from 0.04 (2016), 0.05 (2020) to 0.08-0.09 EUR/kWh.</w:t>
      </w:r>
    </w:p>
    <w:p w14:paraId="46694D17" w14:textId="77777777" w:rsidR="00F76116" w:rsidRPr="00AF391B" w:rsidRDefault="00F76116" w:rsidP="009F1AEB">
      <w:pPr>
        <w:jc w:val="both"/>
        <w:rPr>
          <w:rFonts w:cstheme="minorHAnsi"/>
          <w:b/>
          <w:bCs/>
          <w:i/>
          <w:iCs/>
          <w:sz w:val="24"/>
          <w:szCs w:val="24"/>
          <w:lang w:val="en-US"/>
        </w:rPr>
      </w:pPr>
      <w:r w:rsidRPr="00AF391B">
        <w:rPr>
          <w:rFonts w:cstheme="minorHAnsi"/>
          <w:b/>
          <w:bCs/>
          <w:i/>
          <w:iCs/>
          <w:sz w:val="24"/>
          <w:szCs w:val="24"/>
          <w:lang w:val="en-US"/>
        </w:rPr>
        <w:t>Dimension Research, Innovation and Competitiveness</w:t>
      </w:r>
    </w:p>
    <w:p w14:paraId="50BF57A0" w14:textId="77777777" w:rsidR="00F76116" w:rsidRPr="00AF391B" w:rsidRDefault="00F76116" w:rsidP="00F76116">
      <w:pPr>
        <w:tabs>
          <w:tab w:val="left" w:pos="143"/>
        </w:tabs>
        <w:spacing w:before="120" w:after="0" w:line="312" w:lineRule="atLeast"/>
        <w:jc w:val="both"/>
        <w:rPr>
          <w:rFonts w:eastAsia="Times New Roman" w:cstheme="minorHAnsi"/>
          <w:sz w:val="24"/>
          <w:szCs w:val="24"/>
          <w:lang w:val="en-US"/>
        </w:rPr>
      </w:pPr>
      <w:r w:rsidRPr="00AF391B">
        <w:rPr>
          <w:rFonts w:cstheme="minorHAnsi"/>
          <w:sz w:val="24"/>
          <w:szCs w:val="24"/>
          <w:lang w:val="en-US"/>
        </w:rPr>
        <w:t>Currently, in Moldova there are limited activities regarding R&amp;D in the energy sector and limited number of producers of low-carbon technologies. Key priorities of energy research in Moldova are energy efficiency and renewable energy, smart grids control devices, as well as energy storage, but still, most of the companies in the energy sector are service-orientated, mainly in RES and EE. Therefore, there is a significant potential for scaling up low-carbon and energy-efficient solutions, starting from the demonstration and pivotal stage up to the market of renewable energy technologies and achieving more significant energy savings.</w:t>
      </w:r>
    </w:p>
    <w:p w14:paraId="57918105" w14:textId="77777777" w:rsidR="00AB0FEE" w:rsidRPr="00AF391B" w:rsidRDefault="00AB0FEE" w:rsidP="009F1AEB">
      <w:pPr>
        <w:jc w:val="both"/>
        <w:rPr>
          <w:rFonts w:cstheme="minorHAnsi"/>
          <w:sz w:val="24"/>
          <w:szCs w:val="24"/>
          <w:lang w:val="en-US"/>
        </w:rPr>
      </w:pPr>
    </w:p>
    <w:p w14:paraId="6383B775" w14:textId="77777777" w:rsidR="00AB0FEE" w:rsidRPr="00AF391B" w:rsidRDefault="00AB0FEE" w:rsidP="00B6327C">
      <w:pPr>
        <w:pStyle w:val="ListParagraph"/>
        <w:numPr>
          <w:ilvl w:val="0"/>
          <w:numId w:val="11"/>
        </w:numPr>
        <w:jc w:val="both"/>
        <w:rPr>
          <w:rFonts w:cstheme="minorHAnsi"/>
          <w:b/>
          <w:sz w:val="24"/>
          <w:szCs w:val="24"/>
        </w:rPr>
      </w:pPr>
      <w:r w:rsidRPr="00AF391B">
        <w:rPr>
          <w:rFonts w:cstheme="minorHAnsi"/>
          <w:b/>
          <w:sz w:val="24"/>
          <w:szCs w:val="24"/>
        </w:rPr>
        <w:t xml:space="preserve">Impact Assessment of Planned Policies and Measures </w:t>
      </w:r>
    </w:p>
    <w:p w14:paraId="4F21DF4A" w14:textId="77777777" w:rsidR="00AB0FEE" w:rsidRPr="00AF391B" w:rsidRDefault="0059733B" w:rsidP="00AB0FEE">
      <w:pPr>
        <w:rPr>
          <w:rFonts w:cstheme="minorHAnsi"/>
          <w:sz w:val="24"/>
          <w:szCs w:val="24"/>
          <w:lang w:val="en-US"/>
        </w:rPr>
      </w:pPr>
      <w:r w:rsidRPr="00AF391B">
        <w:rPr>
          <w:rFonts w:cstheme="minorHAnsi"/>
          <w:sz w:val="24"/>
          <w:szCs w:val="24"/>
          <w:lang w:val="en-US"/>
        </w:rPr>
        <w:t>In this section, projected evolutions of a number of indicators over the period 2020 – 2050 is shown in both WEM and WPM scenarios, and the impact of these evolutions is discussed.</w:t>
      </w:r>
    </w:p>
    <w:p w14:paraId="61800747" w14:textId="77777777" w:rsidR="0059733B" w:rsidRPr="00AF391B" w:rsidRDefault="0059733B" w:rsidP="0059733B">
      <w:pPr>
        <w:pStyle w:val="Denumirefigura"/>
        <w:jc w:val="both"/>
        <w:rPr>
          <w:rFonts w:asciiTheme="minorHAnsi" w:hAnsiTheme="minorHAnsi" w:cstheme="minorHAnsi"/>
          <w:i w:val="0"/>
          <w:iCs/>
          <w:sz w:val="24"/>
          <w:szCs w:val="24"/>
        </w:rPr>
      </w:pPr>
      <w:r w:rsidRPr="00AF391B">
        <w:rPr>
          <w:rFonts w:asciiTheme="minorHAnsi" w:hAnsiTheme="minorHAnsi" w:cstheme="minorHAnsi"/>
          <w:sz w:val="24"/>
          <w:szCs w:val="24"/>
        </w:rPr>
        <w:t xml:space="preserve">Total greenhouse gas emissions in the energy sector remain unchanged under the scenario with existing measures. </w:t>
      </w:r>
      <w:r w:rsidRPr="00AF391B">
        <w:rPr>
          <w:rFonts w:asciiTheme="minorHAnsi" w:hAnsiTheme="minorHAnsi" w:cstheme="minorHAnsi"/>
          <w:i w:val="0"/>
          <w:iCs/>
          <w:sz w:val="24"/>
          <w:szCs w:val="24"/>
        </w:rPr>
        <w:t>If the WPM scenario is implemented, in 2050 on the Right bank of the Dniester, the emissions will be reduced by about 1.3 Mt CO</w:t>
      </w:r>
      <w:r w:rsidRPr="00AF391B">
        <w:rPr>
          <w:rFonts w:asciiTheme="minorHAnsi" w:hAnsiTheme="minorHAnsi" w:cstheme="minorHAnsi"/>
          <w:i w:val="0"/>
          <w:iCs/>
          <w:sz w:val="24"/>
          <w:szCs w:val="24"/>
          <w:vertAlign w:val="subscript"/>
        </w:rPr>
        <w:t xml:space="preserve">2 </w:t>
      </w:r>
      <w:r w:rsidRPr="00AF391B">
        <w:rPr>
          <w:rFonts w:asciiTheme="minorHAnsi" w:hAnsiTheme="minorHAnsi" w:cstheme="minorHAnsi"/>
          <w:i w:val="0"/>
          <w:iCs/>
          <w:sz w:val="24"/>
          <w:szCs w:val="24"/>
        </w:rPr>
        <w:t>eq, or 27% less emissions compared to the WEM scenario.</w:t>
      </w:r>
    </w:p>
    <w:p w14:paraId="07A41021" w14:textId="229CE3B5" w:rsidR="0059733B" w:rsidRPr="00AF391B" w:rsidRDefault="0059733B" w:rsidP="0059733B">
      <w:pPr>
        <w:pStyle w:val="Denumirefigura"/>
        <w:jc w:val="both"/>
        <w:rPr>
          <w:rFonts w:asciiTheme="minorHAnsi" w:hAnsiTheme="minorHAnsi" w:cstheme="minorHAnsi"/>
          <w:i w:val="0"/>
          <w:iCs/>
          <w:sz w:val="24"/>
          <w:szCs w:val="24"/>
        </w:rPr>
      </w:pPr>
      <w:r w:rsidRPr="00AF391B">
        <w:rPr>
          <w:rFonts w:asciiTheme="minorHAnsi" w:hAnsiTheme="minorHAnsi" w:cstheme="minorHAnsi"/>
          <w:i w:val="0"/>
          <w:sz w:val="24"/>
          <w:szCs w:val="24"/>
          <w:lang w:val="be-BY"/>
        </w:rPr>
        <w:t xml:space="preserve">The share of </w:t>
      </w:r>
      <w:r w:rsidRPr="00AF391B">
        <w:rPr>
          <w:rFonts w:asciiTheme="minorHAnsi" w:hAnsiTheme="minorHAnsi" w:cstheme="minorHAnsi"/>
          <w:i w:val="0"/>
          <w:sz w:val="24"/>
          <w:szCs w:val="24"/>
        </w:rPr>
        <w:t xml:space="preserve">renewable energy </w:t>
      </w:r>
      <w:r w:rsidRPr="00AF391B">
        <w:rPr>
          <w:rFonts w:asciiTheme="minorHAnsi" w:hAnsiTheme="minorHAnsi" w:cstheme="minorHAnsi"/>
          <w:i w:val="0"/>
          <w:sz w:val="24"/>
          <w:szCs w:val="24"/>
          <w:lang w:val="be-BY"/>
        </w:rPr>
        <w:t xml:space="preserve">in </w:t>
      </w:r>
      <w:r w:rsidRPr="00AF391B">
        <w:rPr>
          <w:rFonts w:asciiTheme="minorHAnsi" w:hAnsiTheme="minorHAnsi" w:cstheme="minorHAnsi"/>
          <w:i w:val="0"/>
          <w:sz w:val="24"/>
          <w:szCs w:val="24"/>
        </w:rPr>
        <w:t xml:space="preserve">the </w:t>
      </w:r>
      <w:r w:rsidRPr="00AF391B">
        <w:rPr>
          <w:rFonts w:asciiTheme="minorHAnsi" w:hAnsiTheme="minorHAnsi" w:cstheme="minorHAnsi"/>
          <w:i w:val="0"/>
          <w:sz w:val="24"/>
          <w:szCs w:val="24"/>
          <w:lang w:val="be-BY"/>
        </w:rPr>
        <w:t>G</w:t>
      </w:r>
      <w:r w:rsidRPr="00AF391B">
        <w:rPr>
          <w:rFonts w:asciiTheme="minorHAnsi" w:hAnsiTheme="minorHAnsi" w:cstheme="minorHAnsi"/>
          <w:i w:val="0"/>
          <w:sz w:val="24"/>
          <w:szCs w:val="24"/>
        </w:rPr>
        <w:t xml:space="preserve">ross </w:t>
      </w:r>
      <w:r w:rsidRPr="00AF391B">
        <w:rPr>
          <w:rFonts w:asciiTheme="minorHAnsi" w:hAnsiTheme="minorHAnsi" w:cstheme="minorHAnsi"/>
          <w:i w:val="0"/>
          <w:sz w:val="24"/>
          <w:szCs w:val="24"/>
          <w:lang w:val="be-BY"/>
        </w:rPr>
        <w:t>F</w:t>
      </w:r>
      <w:r w:rsidRPr="00AF391B">
        <w:rPr>
          <w:rFonts w:asciiTheme="minorHAnsi" w:hAnsiTheme="minorHAnsi" w:cstheme="minorHAnsi"/>
          <w:i w:val="0"/>
          <w:sz w:val="24"/>
          <w:szCs w:val="24"/>
        </w:rPr>
        <w:t xml:space="preserve">inal </w:t>
      </w:r>
      <w:r w:rsidRPr="00AF391B">
        <w:rPr>
          <w:rFonts w:asciiTheme="minorHAnsi" w:hAnsiTheme="minorHAnsi" w:cstheme="minorHAnsi"/>
          <w:i w:val="0"/>
          <w:sz w:val="24"/>
          <w:szCs w:val="24"/>
          <w:lang w:val="be-BY"/>
        </w:rPr>
        <w:t>E</w:t>
      </w:r>
      <w:r w:rsidRPr="00AF391B">
        <w:rPr>
          <w:rFonts w:asciiTheme="minorHAnsi" w:hAnsiTheme="minorHAnsi" w:cstheme="minorHAnsi"/>
          <w:i w:val="0"/>
          <w:sz w:val="24"/>
          <w:szCs w:val="24"/>
        </w:rPr>
        <w:t xml:space="preserve">nergy </w:t>
      </w:r>
      <w:r w:rsidRPr="00AF391B">
        <w:rPr>
          <w:rFonts w:asciiTheme="minorHAnsi" w:hAnsiTheme="minorHAnsi" w:cstheme="minorHAnsi"/>
          <w:i w:val="0"/>
          <w:sz w:val="24"/>
          <w:szCs w:val="24"/>
          <w:lang w:val="be-BY"/>
        </w:rPr>
        <w:t>C</w:t>
      </w:r>
      <w:r w:rsidRPr="00AF391B">
        <w:rPr>
          <w:rFonts w:asciiTheme="minorHAnsi" w:hAnsiTheme="minorHAnsi" w:cstheme="minorHAnsi"/>
          <w:i w:val="0"/>
          <w:sz w:val="24"/>
          <w:szCs w:val="24"/>
        </w:rPr>
        <w:t>onsumption (GFEC)</w:t>
      </w:r>
      <w:r w:rsidRPr="00AF391B">
        <w:rPr>
          <w:rFonts w:asciiTheme="minorHAnsi" w:hAnsiTheme="minorHAnsi" w:cstheme="minorHAnsi"/>
          <w:i w:val="0"/>
          <w:sz w:val="24"/>
          <w:szCs w:val="24"/>
          <w:lang w:val="be-BY"/>
        </w:rPr>
        <w:t xml:space="preserve"> has a steady </w:t>
      </w:r>
      <w:r w:rsidRPr="00AF391B">
        <w:rPr>
          <w:rFonts w:asciiTheme="minorHAnsi" w:hAnsiTheme="minorHAnsi" w:cstheme="minorHAnsi"/>
          <w:i w:val="0"/>
          <w:sz w:val="24"/>
          <w:szCs w:val="24"/>
        </w:rPr>
        <w:t>growing</w:t>
      </w:r>
      <w:r w:rsidRPr="00AF391B">
        <w:rPr>
          <w:rFonts w:asciiTheme="minorHAnsi" w:hAnsiTheme="minorHAnsi" w:cstheme="minorHAnsi"/>
          <w:i w:val="0"/>
          <w:sz w:val="24"/>
          <w:szCs w:val="24"/>
          <w:lang w:val="be-BY"/>
        </w:rPr>
        <w:t xml:space="preserve"> trend in </w:t>
      </w:r>
      <w:r w:rsidRPr="00AF391B">
        <w:rPr>
          <w:rFonts w:asciiTheme="minorHAnsi" w:hAnsiTheme="minorHAnsi" w:cstheme="minorHAnsi"/>
          <w:i w:val="0"/>
          <w:sz w:val="24"/>
          <w:szCs w:val="24"/>
        </w:rPr>
        <w:t xml:space="preserve">both </w:t>
      </w:r>
      <w:r w:rsidRPr="00AF391B">
        <w:rPr>
          <w:rFonts w:asciiTheme="minorHAnsi" w:hAnsiTheme="minorHAnsi" w:cstheme="minorHAnsi"/>
          <w:i w:val="0"/>
          <w:sz w:val="24"/>
          <w:szCs w:val="24"/>
          <w:lang w:val="be-BY"/>
        </w:rPr>
        <w:t>WEM and WPM scenarios. Until 20</w:t>
      </w:r>
      <w:r w:rsidRPr="00AF391B">
        <w:rPr>
          <w:rFonts w:asciiTheme="minorHAnsi" w:hAnsiTheme="minorHAnsi" w:cstheme="minorHAnsi"/>
          <w:i w:val="0"/>
          <w:sz w:val="24"/>
          <w:szCs w:val="24"/>
        </w:rPr>
        <w:t>25</w:t>
      </w:r>
      <w:r w:rsidRPr="00AF391B">
        <w:rPr>
          <w:rFonts w:asciiTheme="minorHAnsi" w:hAnsiTheme="minorHAnsi" w:cstheme="minorHAnsi"/>
          <w:i w:val="0"/>
          <w:sz w:val="24"/>
          <w:szCs w:val="24"/>
          <w:lang w:val="be-BY"/>
        </w:rPr>
        <w:t xml:space="preserve">, the indicators of both scenarios are very similar: there is a </w:t>
      </w:r>
      <w:r w:rsidRPr="00AF391B">
        <w:rPr>
          <w:rFonts w:asciiTheme="minorHAnsi" w:hAnsiTheme="minorHAnsi" w:cstheme="minorHAnsi"/>
          <w:i w:val="0"/>
          <w:sz w:val="24"/>
          <w:szCs w:val="24"/>
        </w:rPr>
        <w:t>increase</w:t>
      </w:r>
      <w:r w:rsidRPr="00AF391B">
        <w:rPr>
          <w:rFonts w:asciiTheme="minorHAnsi" w:hAnsiTheme="minorHAnsi" w:cstheme="minorHAnsi"/>
          <w:i w:val="0"/>
          <w:sz w:val="24"/>
          <w:szCs w:val="24"/>
          <w:lang w:val="be-BY"/>
        </w:rPr>
        <w:t xml:space="preserve"> in the share of RES from 24.</w:t>
      </w:r>
      <w:r w:rsidRPr="00AF391B">
        <w:rPr>
          <w:rFonts w:asciiTheme="minorHAnsi" w:hAnsiTheme="minorHAnsi" w:cstheme="minorHAnsi"/>
          <w:i w:val="0"/>
          <w:sz w:val="24"/>
          <w:szCs w:val="24"/>
        </w:rPr>
        <w:t>2</w:t>
      </w:r>
      <w:r w:rsidRPr="00AF391B">
        <w:rPr>
          <w:rFonts w:asciiTheme="minorHAnsi" w:hAnsiTheme="minorHAnsi" w:cstheme="minorHAnsi"/>
          <w:i w:val="0"/>
          <w:sz w:val="24"/>
          <w:szCs w:val="24"/>
          <w:lang w:val="be-BY"/>
        </w:rPr>
        <w:t>% in 2020 to 2</w:t>
      </w:r>
      <w:r w:rsidRPr="00AF391B">
        <w:rPr>
          <w:rFonts w:asciiTheme="minorHAnsi" w:hAnsiTheme="minorHAnsi" w:cstheme="minorHAnsi"/>
          <w:i w:val="0"/>
          <w:sz w:val="24"/>
          <w:szCs w:val="24"/>
        </w:rPr>
        <w:t>4</w:t>
      </w:r>
      <w:r w:rsidRPr="00AF391B">
        <w:rPr>
          <w:rFonts w:asciiTheme="minorHAnsi" w:hAnsiTheme="minorHAnsi" w:cstheme="minorHAnsi"/>
          <w:i w:val="0"/>
          <w:sz w:val="24"/>
          <w:szCs w:val="24"/>
          <w:lang w:val="be-BY"/>
        </w:rPr>
        <w:t>.</w:t>
      </w:r>
      <w:r w:rsidRPr="00AF391B">
        <w:rPr>
          <w:rFonts w:asciiTheme="minorHAnsi" w:hAnsiTheme="minorHAnsi" w:cstheme="minorHAnsi"/>
          <w:i w:val="0"/>
          <w:sz w:val="24"/>
          <w:szCs w:val="24"/>
        </w:rPr>
        <w:t>7</w:t>
      </w:r>
      <w:r w:rsidRPr="00AF391B">
        <w:rPr>
          <w:rFonts w:asciiTheme="minorHAnsi" w:hAnsiTheme="minorHAnsi" w:cstheme="minorHAnsi"/>
          <w:i w:val="0"/>
          <w:sz w:val="24"/>
          <w:szCs w:val="24"/>
          <w:lang w:val="be-BY"/>
        </w:rPr>
        <w:t xml:space="preserve">% in WEM </w:t>
      </w:r>
      <w:r w:rsidRPr="00AF391B">
        <w:rPr>
          <w:rFonts w:asciiTheme="minorHAnsi" w:hAnsiTheme="minorHAnsi" w:cstheme="minorHAnsi"/>
          <w:i w:val="0"/>
          <w:sz w:val="24"/>
          <w:szCs w:val="24"/>
        </w:rPr>
        <w:t>S</w:t>
      </w:r>
      <w:r w:rsidRPr="00AF391B">
        <w:rPr>
          <w:rFonts w:asciiTheme="minorHAnsi" w:hAnsiTheme="minorHAnsi" w:cstheme="minorHAnsi"/>
          <w:i w:val="0"/>
          <w:sz w:val="24"/>
          <w:szCs w:val="24"/>
          <w:lang w:val="be-BY"/>
        </w:rPr>
        <w:t>cenario and to 2</w:t>
      </w:r>
      <w:r w:rsidRPr="00AF391B">
        <w:rPr>
          <w:rFonts w:asciiTheme="minorHAnsi" w:hAnsiTheme="minorHAnsi" w:cstheme="minorHAnsi"/>
          <w:i w:val="0"/>
          <w:sz w:val="24"/>
          <w:szCs w:val="24"/>
        </w:rPr>
        <w:t>6</w:t>
      </w:r>
      <w:r w:rsidRPr="00AF391B">
        <w:rPr>
          <w:rFonts w:asciiTheme="minorHAnsi" w:hAnsiTheme="minorHAnsi" w:cstheme="minorHAnsi"/>
          <w:i w:val="0"/>
          <w:sz w:val="24"/>
          <w:szCs w:val="24"/>
          <w:lang w:val="be-BY"/>
        </w:rPr>
        <w:t>.</w:t>
      </w:r>
      <w:r w:rsidRPr="00AF391B">
        <w:rPr>
          <w:rFonts w:asciiTheme="minorHAnsi" w:hAnsiTheme="minorHAnsi" w:cstheme="minorHAnsi"/>
          <w:i w:val="0"/>
          <w:sz w:val="24"/>
          <w:szCs w:val="24"/>
        </w:rPr>
        <w:t>3</w:t>
      </w:r>
      <w:r w:rsidRPr="00AF391B">
        <w:rPr>
          <w:rFonts w:asciiTheme="minorHAnsi" w:hAnsiTheme="minorHAnsi" w:cstheme="minorHAnsi"/>
          <w:i w:val="0"/>
          <w:sz w:val="24"/>
          <w:szCs w:val="24"/>
          <w:lang w:val="be-BY"/>
        </w:rPr>
        <w:t xml:space="preserve">% in WPM </w:t>
      </w:r>
      <w:r w:rsidRPr="00AF391B">
        <w:rPr>
          <w:rFonts w:asciiTheme="minorHAnsi" w:hAnsiTheme="minorHAnsi" w:cstheme="minorHAnsi"/>
          <w:i w:val="0"/>
          <w:sz w:val="24"/>
          <w:szCs w:val="24"/>
        </w:rPr>
        <w:t>S</w:t>
      </w:r>
      <w:r w:rsidRPr="00AF391B">
        <w:rPr>
          <w:rFonts w:asciiTheme="minorHAnsi" w:hAnsiTheme="minorHAnsi" w:cstheme="minorHAnsi"/>
          <w:i w:val="0"/>
          <w:sz w:val="24"/>
          <w:szCs w:val="24"/>
          <w:lang w:val="be-BY"/>
        </w:rPr>
        <w:t xml:space="preserve">cenario. </w:t>
      </w:r>
      <w:r w:rsidRPr="00AF391B">
        <w:rPr>
          <w:rFonts w:asciiTheme="minorHAnsi" w:hAnsiTheme="minorHAnsi" w:cstheme="minorHAnsi"/>
          <w:i w:val="0"/>
          <w:sz w:val="24"/>
          <w:szCs w:val="24"/>
        </w:rPr>
        <w:t>In</w:t>
      </w:r>
      <w:r w:rsidRPr="00AF391B">
        <w:rPr>
          <w:rFonts w:asciiTheme="minorHAnsi" w:hAnsiTheme="minorHAnsi" w:cstheme="minorHAnsi"/>
          <w:i w:val="0"/>
          <w:sz w:val="24"/>
          <w:szCs w:val="24"/>
          <w:lang w:val="be-BY"/>
        </w:rPr>
        <w:t xml:space="preserve"> 2050, the difference between the scenarios reaches </w:t>
      </w:r>
      <w:r w:rsidRPr="00AF391B">
        <w:rPr>
          <w:rFonts w:asciiTheme="minorHAnsi" w:hAnsiTheme="minorHAnsi" w:cstheme="minorHAnsi"/>
          <w:i w:val="0"/>
          <w:sz w:val="24"/>
          <w:szCs w:val="24"/>
        </w:rPr>
        <w:t>22.2</w:t>
      </w:r>
      <w:r w:rsidRPr="00AF391B">
        <w:rPr>
          <w:rFonts w:asciiTheme="minorHAnsi" w:hAnsiTheme="minorHAnsi" w:cstheme="minorHAnsi"/>
          <w:i w:val="0"/>
          <w:sz w:val="24"/>
          <w:szCs w:val="24"/>
          <w:lang w:val="be-BY"/>
        </w:rPr>
        <w:t xml:space="preserve"> percentage points, and the share of RES in GFEC becomes </w:t>
      </w:r>
      <w:r w:rsidRPr="00AF391B">
        <w:rPr>
          <w:rFonts w:asciiTheme="minorHAnsi" w:hAnsiTheme="minorHAnsi" w:cstheme="minorHAnsi"/>
          <w:i w:val="0"/>
          <w:sz w:val="24"/>
          <w:szCs w:val="24"/>
        </w:rPr>
        <w:t>25.</w:t>
      </w:r>
      <w:r w:rsidRPr="00AF391B">
        <w:rPr>
          <w:rFonts w:asciiTheme="minorHAnsi" w:hAnsiTheme="minorHAnsi" w:cstheme="minorHAnsi"/>
          <w:i w:val="0"/>
          <w:sz w:val="24"/>
          <w:szCs w:val="24"/>
          <w:lang w:val="be-BY"/>
        </w:rPr>
        <w:t xml:space="preserve">3% in WEM scenario and </w:t>
      </w:r>
      <w:r w:rsidRPr="00AF391B">
        <w:rPr>
          <w:rFonts w:asciiTheme="minorHAnsi" w:hAnsiTheme="minorHAnsi" w:cstheme="minorHAnsi"/>
          <w:i w:val="0"/>
          <w:sz w:val="24"/>
          <w:szCs w:val="24"/>
        </w:rPr>
        <w:t>47.5</w:t>
      </w:r>
      <w:r w:rsidR="002C369A" w:rsidRPr="00AF391B">
        <w:rPr>
          <w:rFonts w:asciiTheme="minorHAnsi" w:hAnsiTheme="minorHAnsi" w:cstheme="minorHAnsi"/>
          <w:i w:val="0"/>
          <w:sz w:val="24"/>
          <w:szCs w:val="24"/>
          <w:lang w:val="be-BY"/>
        </w:rPr>
        <w:t xml:space="preserve">% in WPM scenario, as shown on </w:t>
      </w:r>
      <w:r w:rsidR="002C369A" w:rsidRPr="00AF391B">
        <w:rPr>
          <w:rFonts w:asciiTheme="minorHAnsi" w:hAnsiTheme="minorHAnsi" w:cstheme="minorHAnsi"/>
          <w:i w:val="0"/>
          <w:sz w:val="24"/>
          <w:szCs w:val="24"/>
        </w:rPr>
        <w:t xml:space="preserve">Figure </w:t>
      </w:r>
      <w:r w:rsidR="00673C58">
        <w:rPr>
          <w:rFonts w:asciiTheme="minorHAnsi" w:hAnsiTheme="minorHAnsi" w:cstheme="minorHAnsi"/>
          <w:i w:val="0"/>
          <w:sz w:val="24"/>
          <w:szCs w:val="24"/>
        </w:rPr>
        <w:t>6</w:t>
      </w:r>
      <w:r w:rsidR="002C369A" w:rsidRPr="00AF391B">
        <w:rPr>
          <w:rFonts w:asciiTheme="minorHAnsi" w:hAnsiTheme="minorHAnsi" w:cstheme="minorHAnsi"/>
          <w:i w:val="0"/>
          <w:sz w:val="24"/>
          <w:szCs w:val="24"/>
        </w:rPr>
        <w:t xml:space="preserve"> below.</w:t>
      </w:r>
      <w:r w:rsidRPr="00AF391B">
        <w:rPr>
          <w:rFonts w:asciiTheme="minorHAnsi" w:hAnsiTheme="minorHAnsi" w:cstheme="minorHAnsi"/>
          <w:i w:val="0"/>
          <w:sz w:val="24"/>
          <w:szCs w:val="24"/>
          <w:lang w:val="be-BY"/>
        </w:rPr>
        <w:t xml:space="preserve"> </w:t>
      </w:r>
    </w:p>
    <w:p w14:paraId="3C0B7397" w14:textId="77777777" w:rsidR="002C369A" w:rsidRPr="00AF391B" w:rsidRDefault="002C369A" w:rsidP="002C369A">
      <w:pPr>
        <w:pStyle w:val="Denumirefigura"/>
        <w:rPr>
          <w:rFonts w:asciiTheme="minorHAnsi" w:hAnsiTheme="minorHAnsi" w:cstheme="minorHAnsi"/>
          <w:sz w:val="24"/>
          <w:szCs w:val="24"/>
        </w:rPr>
      </w:pPr>
      <w:r w:rsidRPr="00AF391B">
        <w:rPr>
          <w:rFonts w:asciiTheme="minorHAnsi" w:hAnsiTheme="minorHAnsi" w:cstheme="minorHAnsi"/>
          <w:noProof/>
          <w:sz w:val="24"/>
          <w:szCs w:val="24"/>
          <w:lang w:val="en-GB" w:eastAsia="en-GB"/>
        </w:rPr>
        <w:lastRenderedPageBreak/>
        <w:drawing>
          <wp:inline distT="0" distB="0" distL="0" distR="0" wp14:anchorId="0DDA3671" wp14:editId="07673657">
            <wp:extent cx="5372100" cy="3400425"/>
            <wp:effectExtent l="0" t="0" r="0" b="9525"/>
            <wp:docPr id="1756837034"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AC5A500-643F-FBED-1020-46B05B3358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5E4B23" w14:textId="77D86B1F" w:rsidR="002C369A" w:rsidRPr="00AF391B" w:rsidRDefault="002C369A" w:rsidP="002C369A">
      <w:pPr>
        <w:pStyle w:val="Denumirefigura"/>
        <w:rPr>
          <w:rFonts w:asciiTheme="minorHAnsi" w:hAnsiTheme="minorHAnsi" w:cstheme="minorHAnsi"/>
          <w:sz w:val="24"/>
          <w:szCs w:val="24"/>
        </w:rPr>
      </w:pPr>
      <w:bookmarkStart w:id="12" w:name="_Toc153298809"/>
      <w:r w:rsidRPr="00AF391B">
        <w:rPr>
          <w:rFonts w:asciiTheme="minorHAnsi" w:hAnsiTheme="minorHAnsi" w:cstheme="minorHAnsi"/>
          <w:sz w:val="24"/>
          <w:szCs w:val="24"/>
        </w:rPr>
        <w:t xml:space="preserve">Figure </w:t>
      </w:r>
      <w:r w:rsidR="00673C58">
        <w:rPr>
          <w:rFonts w:asciiTheme="minorHAnsi" w:hAnsiTheme="minorHAnsi" w:cstheme="minorHAnsi"/>
          <w:sz w:val="24"/>
          <w:szCs w:val="24"/>
        </w:rPr>
        <w:t>6</w:t>
      </w:r>
      <w:r w:rsidRPr="00AF391B">
        <w:rPr>
          <w:rFonts w:asciiTheme="minorHAnsi" w:hAnsiTheme="minorHAnsi" w:cstheme="minorHAnsi"/>
          <w:sz w:val="24"/>
          <w:szCs w:val="24"/>
        </w:rPr>
        <w:t>. Share of RES in GFEC, in %</w:t>
      </w:r>
      <w:bookmarkEnd w:id="12"/>
    </w:p>
    <w:p w14:paraId="22754B0B" w14:textId="18089494" w:rsidR="00AB0FEE" w:rsidRPr="00AF391B" w:rsidRDefault="002C369A" w:rsidP="002C369A">
      <w:pPr>
        <w:jc w:val="both"/>
        <w:rPr>
          <w:rFonts w:cstheme="minorHAnsi"/>
          <w:sz w:val="24"/>
          <w:szCs w:val="24"/>
          <w:lang w:val="en-US"/>
        </w:rPr>
      </w:pPr>
      <w:r w:rsidRPr="00AF391B">
        <w:rPr>
          <w:rFonts w:cstheme="minorHAnsi"/>
          <w:sz w:val="24"/>
          <w:szCs w:val="24"/>
          <w:lang w:val="en-US"/>
        </w:rPr>
        <w:t>Projections of installed renewable energy capacities per technology, of renewable energy consumption by sector, as well as of the final energy consumption (by sector, by energy source and by type of fuel) are also presented</w:t>
      </w:r>
      <w:r w:rsidR="00ED0D7B">
        <w:rPr>
          <w:rFonts w:cstheme="minorHAnsi"/>
          <w:sz w:val="24"/>
          <w:szCs w:val="24"/>
          <w:lang w:val="en-US"/>
        </w:rPr>
        <w:t xml:space="preserve"> in the NECP</w:t>
      </w:r>
      <w:r w:rsidRPr="00AF391B">
        <w:rPr>
          <w:rFonts w:cstheme="minorHAnsi"/>
          <w:sz w:val="24"/>
          <w:szCs w:val="24"/>
          <w:lang w:val="en-US"/>
        </w:rPr>
        <w:t xml:space="preserve">, for the WEM and WPM scenarios. </w:t>
      </w:r>
    </w:p>
    <w:p w14:paraId="08CCA9DC" w14:textId="77777777" w:rsidR="00F66CC1" w:rsidRPr="00AF391B" w:rsidRDefault="002C369A" w:rsidP="005C5841">
      <w:pPr>
        <w:jc w:val="both"/>
        <w:rPr>
          <w:rFonts w:cstheme="minorHAnsi"/>
          <w:sz w:val="24"/>
          <w:szCs w:val="24"/>
          <w:lang w:val="be-BY"/>
        </w:rPr>
      </w:pPr>
      <w:r w:rsidRPr="00AF391B">
        <w:rPr>
          <w:rFonts w:cstheme="minorHAnsi"/>
          <w:sz w:val="24"/>
          <w:szCs w:val="24"/>
          <w:lang w:val="en-US"/>
        </w:rPr>
        <w:t>Th</w:t>
      </w:r>
      <w:r w:rsidRPr="00AF391B">
        <w:rPr>
          <w:rFonts w:cstheme="minorHAnsi"/>
          <w:sz w:val="24"/>
          <w:szCs w:val="24"/>
          <w:lang w:val="be-BY"/>
        </w:rPr>
        <w:t>e final energy intensity indicator in both scenarios shows a significant decrease - from 0.255 toe/</w:t>
      </w:r>
      <w:r w:rsidRPr="00AF391B">
        <w:rPr>
          <w:rFonts w:cstheme="minorHAnsi"/>
          <w:sz w:val="24"/>
          <w:szCs w:val="24"/>
          <w:lang w:val="en-US"/>
        </w:rPr>
        <w:t>1,</w:t>
      </w:r>
      <w:r w:rsidRPr="00AF391B">
        <w:rPr>
          <w:rFonts w:cstheme="minorHAnsi"/>
          <w:sz w:val="24"/>
          <w:szCs w:val="24"/>
          <w:lang w:val="be-BY"/>
        </w:rPr>
        <w:t xml:space="preserve">000 Euro </w:t>
      </w:r>
      <w:r w:rsidRPr="00AF391B">
        <w:rPr>
          <w:rFonts w:cstheme="minorHAnsi"/>
          <w:sz w:val="24"/>
          <w:szCs w:val="24"/>
          <w:lang w:val="en-US"/>
        </w:rPr>
        <w:t>in</w:t>
      </w:r>
      <w:r w:rsidRPr="00AF391B">
        <w:rPr>
          <w:rFonts w:cstheme="minorHAnsi"/>
          <w:sz w:val="24"/>
          <w:szCs w:val="24"/>
          <w:lang w:val="be-BY"/>
        </w:rPr>
        <w:t xml:space="preserve"> 2020 to 0.176 toe/</w:t>
      </w:r>
      <w:r w:rsidRPr="00AF391B">
        <w:rPr>
          <w:rFonts w:cstheme="minorHAnsi"/>
          <w:sz w:val="24"/>
          <w:szCs w:val="24"/>
          <w:lang w:val="en-US"/>
        </w:rPr>
        <w:t>1,</w:t>
      </w:r>
      <w:r w:rsidRPr="00AF391B">
        <w:rPr>
          <w:rFonts w:cstheme="minorHAnsi"/>
          <w:sz w:val="24"/>
          <w:szCs w:val="24"/>
          <w:lang w:val="be-BY"/>
        </w:rPr>
        <w:t>000 Euro (31%</w:t>
      </w:r>
      <w:r w:rsidRPr="00AF391B">
        <w:rPr>
          <w:rFonts w:cstheme="minorHAnsi"/>
          <w:sz w:val="24"/>
          <w:szCs w:val="24"/>
          <w:lang w:val="en-US"/>
        </w:rPr>
        <w:t xml:space="preserve"> decrease</w:t>
      </w:r>
      <w:r w:rsidRPr="00AF391B">
        <w:rPr>
          <w:rFonts w:cstheme="minorHAnsi"/>
          <w:sz w:val="24"/>
          <w:szCs w:val="24"/>
          <w:lang w:val="be-BY"/>
        </w:rPr>
        <w:t xml:space="preserve">) in WEM </w:t>
      </w:r>
      <w:r w:rsidRPr="00AF391B">
        <w:rPr>
          <w:rFonts w:cstheme="minorHAnsi"/>
          <w:sz w:val="24"/>
          <w:szCs w:val="24"/>
          <w:lang w:val="en-US"/>
        </w:rPr>
        <w:t>S</w:t>
      </w:r>
      <w:r w:rsidRPr="00AF391B">
        <w:rPr>
          <w:rFonts w:cstheme="minorHAnsi"/>
          <w:sz w:val="24"/>
          <w:szCs w:val="24"/>
          <w:lang w:val="be-BY"/>
        </w:rPr>
        <w:t>cenario and to 0.166 toe/</w:t>
      </w:r>
      <w:r w:rsidRPr="00AF391B">
        <w:rPr>
          <w:rFonts w:cstheme="minorHAnsi"/>
          <w:sz w:val="24"/>
          <w:szCs w:val="24"/>
          <w:lang w:val="en-US"/>
        </w:rPr>
        <w:t>1,</w:t>
      </w:r>
      <w:r w:rsidRPr="00AF391B">
        <w:rPr>
          <w:rFonts w:cstheme="minorHAnsi"/>
          <w:sz w:val="24"/>
          <w:szCs w:val="24"/>
          <w:lang w:val="be-BY"/>
        </w:rPr>
        <w:t>000 Euro (35%</w:t>
      </w:r>
      <w:r w:rsidRPr="00AF391B">
        <w:rPr>
          <w:rFonts w:cstheme="minorHAnsi"/>
          <w:sz w:val="24"/>
          <w:szCs w:val="24"/>
          <w:lang w:val="en-US"/>
        </w:rPr>
        <w:t xml:space="preserve"> decrease</w:t>
      </w:r>
      <w:r w:rsidRPr="00AF391B">
        <w:rPr>
          <w:rFonts w:cstheme="minorHAnsi"/>
          <w:sz w:val="24"/>
          <w:szCs w:val="24"/>
          <w:lang w:val="be-BY"/>
        </w:rPr>
        <w:t xml:space="preserve">) in WPM </w:t>
      </w:r>
      <w:r w:rsidRPr="00AF391B">
        <w:rPr>
          <w:rFonts w:cstheme="minorHAnsi"/>
          <w:sz w:val="24"/>
          <w:szCs w:val="24"/>
          <w:lang w:val="en-US"/>
        </w:rPr>
        <w:t>S</w:t>
      </w:r>
      <w:r w:rsidRPr="00AF391B">
        <w:rPr>
          <w:rFonts w:cstheme="minorHAnsi"/>
          <w:sz w:val="24"/>
          <w:szCs w:val="24"/>
          <w:lang w:val="be-BY"/>
        </w:rPr>
        <w:t xml:space="preserve">cenario </w:t>
      </w:r>
      <w:r w:rsidRPr="00AF391B">
        <w:rPr>
          <w:rFonts w:cstheme="minorHAnsi"/>
          <w:sz w:val="24"/>
          <w:szCs w:val="24"/>
          <w:lang w:val="en-US"/>
        </w:rPr>
        <w:t>in</w:t>
      </w:r>
      <w:r w:rsidRPr="00AF391B">
        <w:rPr>
          <w:rFonts w:cstheme="minorHAnsi"/>
          <w:sz w:val="24"/>
          <w:szCs w:val="24"/>
          <w:lang w:val="be-BY"/>
        </w:rPr>
        <w:t xml:space="preserve"> 2030. </w:t>
      </w:r>
      <w:r w:rsidRPr="00AF391B">
        <w:rPr>
          <w:rFonts w:cstheme="minorHAnsi"/>
          <w:sz w:val="24"/>
          <w:szCs w:val="24"/>
          <w:lang w:val="en-US"/>
        </w:rPr>
        <w:t>In</w:t>
      </w:r>
      <w:r w:rsidRPr="00AF391B">
        <w:rPr>
          <w:rFonts w:cstheme="minorHAnsi"/>
          <w:sz w:val="24"/>
          <w:szCs w:val="24"/>
          <w:lang w:val="be-BY"/>
        </w:rPr>
        <w:t xml:space="preserve"> 2050, the decrease in the indicator is even more significant</w:t>
      </w:r>
      <w:r w:rsidRPr="00AF391B">
        <w:rPr>
          <w:rFonts w:cstheme="minorHAnsi"/>
          <w:sz w:val="24"/>
          <w:szCs w:val="24"/>
          <w:lang w:val="en-US"/>
        </w:rPr>
        <w:t>:</w:t>
      </w:r>
      <w:r w:rsidRPr="00AF391B">
        <w:rPr>
          <w:rFonts w:cstheme="minorHAnsi"/>
          <w:sz w:val="24"/>
          <w:szCs w:val="24"/>
          <w:lang w:val="be-BY"/>
        </w:rPr>
        <w:t xml:space="preserve"> </w:t>
      </w:r>
      <w:r w:rsidRPr="00AF391B">
        <w:rPr>
          <w:rFonts w:cstheme="minorHAnsi"/>
          <w:sz w:val="24"/>
          <w:szCs w:val="24"/>
          <w:lang w:val="en-US"/>
        </w:rPr>
        <w:t>down</w:t>
      </w:r>
      <w:r w:rsidRPr="00AF391B">
        <w:rPr>
          <w:rFonts w:cstheme="minorHAnsi"/>
          <w:sz w:val="24"/>
          <w:szCs w:val="24"/>
          <w:lang w:val="be-BY"/>
        </w:rPr>
        <w:t xml:space="preserve"> to 0.07</w:t>
      </w:r>
      <w:r w:rsidRPr="00AF391B">
        <w:rPr>
          <w:rFonts w:cstheme="minorHAnsi"/>
          <w:sz w:val="24"/>
          <w:szCs w:val="24"/>
          <w:lang w:val="en-US"/>
        </w:rPr>
        <w:t>7</w:t>
      </w:r>
      <w:r w:rsidRPr="00AF391B">
        <w:rPr>
          <w:rFonts w:cstheme="minorHAnsi"/>
          <w:sz w:val="24"/>
          <w:szCs w:val="24"/>
          <w:lang w:val="be-BY"/>
        </w:rPr>
        <w:t xml:space="preserve"> toe/</w:t>
      </w:r>
      <w:r w:rsidRPr="00AF391B">
        <w:rPr>
          <w:rFonts w:cstheme="minorHAnsi"/>
          <w:sz w:val="24"/>
          <w:szCs w:val="24"/>
          <w:lang w:val="en-US"/>
        </w:rPr>
        <w:t>1,</w:t>
      </w:r>
      <w:r w:rsidRPr="00AF391B">
        <w:rPr>
          <w:rFonts w:cstheme="minorHAnsi"/>
          <w:sz w:val="24"/>
          <w:szCs w:val="24"/>
          <w:lang w:val="be-BY"/>
        </w:rPr>
        <w:t xml:space="preserve">000 Euro (69% </w:t>
      </w:r>
      <w:r w:rsidRPr="00AF391B">
        <w:rPr>
          <w:rFonts w:cstheme="minorHAnsi"/>
          <w:sz w:val="24"/>
          <w:szCs w:val="24"/>
          <w:lang w:val="en-US"/>
        </w:rPr>
        <w:t xml:space="preserve">decrease </w:t>
      </w:r>
      <w:r w:rsidRPr="00AF391B">
        <w:rPr>
          <w:rFonts w:cstheme="minorHAnsi"/>
          <w:sz w:val="24"/>
          <w:szCs w:val="24"/>
          <w:lang w:val="be-BY"/>
        </w:rPr>
        <w:t xml:space="preserve">compared to 2020) in WEM </w:t>
      </w:r>
      <w:r w:rsidRPr="00AF391B">
        <w:rPr>
          <w:rFonts w:cstheme="minorHAnsi"/>
          <w:sz w:val="24"/>
          <w:szCs w:val="24"/>
          <w:lang w:val="en-US"/>
        </w:rPr>
        <w:t>S</w:t>
      </w:r>
      <w:r w:rsidRPr="00AF391B">
        <w:rPr>
          <w:rFonts w:cstheme="minorHAnsi"/>
          <w:sz w:val="24"/>
          <w:szCs w:val="24"/>
          <w:lang w:val="be-BY"/>
        </w:rPr>
        <w:t xml:space="preserve">cenario and </w:t>
      </w:r>
      <w:r w:rsidRPr="00AF391B">
        <w:rPr>
          <w:rFonts w:cstheme="minorHAnsi"/>
          <w:sz w:val="24"/>
          <w:szCs w:val="24"/>
          <w:lang w:val="en-US"/>
        </w:rPr>
        <w:t>down</w:t>
      </w:r>
      <w:r w:rsidRPr="00AF391B">
        <w:rPr>
          <w:rFonts w:cstheme="minorHAnsi"/>
          <w:sz w:val="24"/>
          <w:szCs w:val="24"/>
          <w:lang w:val="be-BY"/>
        </w:rPr>
        <w:t xml:space="preserve"> to 0.061 toe/</w:t>
      </w:r>
      <w:r w:rsidRPr="00AF391B">
        <w:rPr>
          <w:rFonts w:cstheme="minorHAnsi"/>
          <w:sz w:val="24"/>
          <w:szCs w:val="24"/>
          <w:lang w:val="en-US"/>
        </w:rPr>
        <w:t>1,</w:t>
      </w:r>
      <w:r w:rsidRPr="00AF391B">
        <w:rPr>
          <w:rFonts w:cstheme="minorHAnsi"/>
          <w:sz w:val="24"/>
          <w:szCs w:val="24"/>
          <w:lang w:val="be-BY"/>
        </w:rPr>
        <w:t xml:space="preserve">000 Euro (74% </w:t>
      </w:r>
      <w:r w:rsidRPr="00AF391B">
        <w:rPr>
          <w:rFonts w:cstheme="minorHAnsi"/>
          <w:sz w:val="24"/>
          <w:szCs w:val="24"/>
          <w:lang w:val="en-US"/>
        </w:rPr>
        <w:t xml:space="preserve">decrease </w:t>
      </w:r>
      <w:r w:rsidRPr="00AF391B">
        <w:rPr>
          <w:rFonts w:cstheme="minorHAnsi"/>
          <w:sz w:val="24"/>
          <w:szCs w:val="24"/>
          <w:lang w:val="be-BY"/>
        </w:rPr>
        <w:t xml:space="preserve">compared to 2020) in WPM scenario. </w:t>
      </w:r>
    </w:p>
    <w:p w14:paraId="2E9D0DA0" w14:textId="77777777" w:rsidR="002C369A" w:rsidRPr="00AF391B" w:rsidRDefault="002C369A" w:rsidP="005C5841">
      <w:pPr>
        <w:jc w:val="both"/>
        <w:rPr>
          <w:rFonts w:cstheme="minorHAnsi"/>
          <w:sz w:val="24"/>
          <w:szCs w:val="24"/>
          <w:lang w:val="be-BY"/>
        </w:rPr>
      </w:pPr>
      <w:r w:rsidRPr="00AF391B">
        <w:rPr>
          <w:rFonts w:cstheme="minorHAnsi"/>
          <w:sz w:val="24"/>
          <w:szCs w:val="24"/>
          <w:lang w:val="be-BY"/>
        </w:rPr>
        <w:t xml:space="preserve">Energy imports </w:t>
      </w:r>
      <w:r w:rsidR="00F66CC1" w:rsidRPr="00AF391B">
        <w:rPr>
          <w:rFonts w:cstheme="minorHAnsi"/>
          <w:sz w:val="24"/>
          <w:szCs w:val="24"/>
          <w:lang w:val="en-US"/>
        </w:rPr>
        <w:t xml:space="preserve">are nearly constant over the period 2020 – 2050 </w:t>
      </w:r>
      <w:r w:rsidRPr="00AF391B">
        <w:rPr>
          <w:rFonts w:cstheme="minorHAnsi"/>
          <w:sz w:val="24"/>
          <w:szCs w:val="24"/>
          <w:lang w:val="be-BY"/>
        </w:rPr>
        <w:t xml:space="preserve">in WEM </w:t>
      </w:r>
      <w:r w:rsidRPr="00AF391B">
        <w:rPr>
          <w:rFonts w:cstheme="minorHAnsi"/>
          <w:sz w:val="24"/>
          <w:szCs w:val="24"/>
          <w:lang w:val="en-US"/>
        </w:rPr>
        <w:t>S</w:t>
      </w:r>
      <w:r w:rsidRPr="00AF391B">
        <w:rPr>
          <w:rFonts w:cstheme="minorHAnsi"/>
          <w:sz w:val="24"/>
          <w:szCs w:val="24"/>
          <w:lang w:val="be-BY"/>
        </w:rPr>
        <w:t>cenario</w:t>
      </w:r>
      <w:r w:rsidR="00F66CC1" w:rsidRPr="00AF391B">
        <w:rPr>
          <w:rFonts w:cstheme="minorHAnsi"/>
          <w:sz w:val="24"/>
          <w:szCs w:val="24"/>
          <w:lang w:val="en-US"/>
        </w:rPr>
        <w:t xml:space="preserve">, with less than 3% </w:t>
      </w:r>
      <w:r w:rsidRPr="00AF391B">
        <w:rPr>
          <w:rFonts w:cstheme="minorHAnsi"/>
          <w:sz w:val="24"/>
          <w:szCs w:val="24"/>
          <w:lang w:val="be-BY"/>
        </w:rPr>
        <w:t xml:space="preserve">fluctuations: from </w:t>
      </w:r>
      <w:r w:rsidRPr="00AF391B">
        <w:rPr>
          <w:rFonts w:cstheme="minorHAnsi"/>
          <w:sz w:val="24"/>
          <w:szCs w:val="24"/>
          <w:lang w:val="en-US"/>
        </w:rPr>
        <w:t>2,244.73 ktoe</w:t>
      </w:r>
      <w:r w:rsidRPr="00AF391B">
        <w:rPr>
          <w:rFonts w:cstheme="minorHAnsi"/>
          <w:sz w:val="24"/>
          <w:szCs w:val="24"/>
          <w:lang w:val="be-BY"/>
        </w:rPr>
        <w:t xml:space="preserve"> in 2020 to </w:t>
      </w:r>
      <w:r w:rsidRPr="00AF391B">
        <w:rPr>
          <w:rFonts w:cstheme="minorHAnsi"/>
          <w:sz w:val="24"/>
          <w:szCs w:val="24"/>
          <w:lang w:val="en-US"/>
        </w:rPr>
        <w:t>2,290.97 ktoe</w:t>
      </w:r>
      <w:r w:rsidRPr="00AF391B">
        <w:rPr>
          <w:rFonts w:cstheme="minorHAnsi"/>
          <w:sz w:val="24"/>
          <w:szCs w:val="24"/>
          <w:lang w:val="be-BY"/>
        </w:rPr>
        <w:t xml:space="preserve"> </w:t>
      </w:r>
      <w:r w:rsidRPr="00AF391B">
        <w:rPr>
          <w:rFonts w:cstheme="minorHAnsi"/>
          <w:sz w:val="24"/>
          <w:szCs w:val="24"/>
          <w:lang w:val="en-US"/>
        </w:rPr>
        <w:t>in</w:t>
      </w:r>
      <w:r w:rsidRPr="00AF391B">
        <w:rPr>
          <w:rFonts w:cstheme="minorHAnsi"/>
          <w:sz w:val="24"/>
          <w:szCs w:val="24"/>
          <w:lang w:val="be-BY"/>
        </w:rPr>
        <w:t xml:space="preserve"> 2030 and </w:t>
      </w:r>
      <w:r w:rsidRPr="00AF391B">
        <w:rPr>
          <w:rFonts w:cstheme="minorHAnsi"/>
          <w:sz w:val="24"/>
          <w:szCs w:val="24"/>
          <w:lang w:val="en-US"/>
        </w:rPr>
        <w:t>to 2,311.02 ktoe in</w:t>
      </w:r>
      <w:r w:rsidRPr="00AF391B">
        <w:rPr>
          <w:rFonts w:cstheme="minorHAnsi"/>
          <w:sz w:val="24"/>
          <w:szCs w:val="24"/>
          <w:lang w:val="be-BY"/>
        </w:rPr>
        <w:t xml:space="preserve"> 2050.</w:t>
      </w:r>
      <w:r w:rsidR="00F66CC1" w:rsidRPr="00AF391B">
        <w:rPr>
          <w:rFonts w:cstheme="minorHAnsi"/>
          <w:sz w:val="24"/>
          <w:szCs w:val="24"/>
          <w:lang w:val="en-US"/>
        </w:rPr>
        <w:t xml:space="preserve"> </w:t>
      </w:r>
      <w:r w:rsidRPr="00AF391B">
        <w:rPr>
          <w:rFonts w:cstheme="minorHAnsi"/>
          <w:sz w:val="24"/>
          <w:szCs w:val="24"/>
          <w:lang w:val="be-BY"/>
        </w:rPr>
        <w:t xml:space="preserve">The implementation of the measures provided for in WPM </w:t>
      </w:r>
      <w:r w:rsidRPr="00AF391B">
        <w:rPr>
          <w:rFonts w:cstheme="minorHAnsi"/>
          <w:sz w:val="24"/>
          <w:szCs w:val="24"/>
          <w:lang w:val="en-US"/>
        </w:rPr>
        <w:t>S</w:t>
      </w:r>
      <w:r w:rsidRPr="00AF391B">
        <w:rPr>
          <w:rFonts w:cstheme="minorHAnsi"/>
          <w:sz w:val="24"/>
          <w:szCs w:val="24"/>
          <w:lang w:val="be-BY"/>
        </w:rPr>
        <w:t xml:space="preserve">cenario leads to a </w:t>
      </w:r>
      <w:r w:rsidR="00F66CC1" w:rsidRPr="00AF391B">
        <w:rPr>
          <w:rFonts w:cstheme="minorHAnsi"/>
          <w:sz w:val="24"/>
          <w:szCs w:val="24"/>
          <w:lang w:val="en-US"/>
        </w:rPr>
        <w:t xml:space="preserve">significant </w:t>
      </w:r>
      <w:r w:rsidRPr="00AF391B">
        <w:rPr>
          <w:rFonts w:cstheme="minorHAnsi"/>
          <w:sz w:val="24"/>
          <w:szCs w:val="24"/>
          <w:lang w:val="be-BY"/>
        </w:rPr>
        <w:t xml:space="preserve">reduction in imports to the level of </w:t>
      </w:r>
      <w:r w:rsidRPr="00AF391B">
        <w:rPr>
          <w:rFonts w:cstheme="minorHAnsi"/>
          <w:sz w:val="24"/>
          <w:szCs w:val="24"/>
          <w:lang w:val="en-US"/>
        </w:rPr>
        <w:t>2,024.02 ktoe</w:t>
      </w:r>
      <w:r w:rsidRPr="00AF391B">
        <w:rPr>
          <w:rFonts w:cstheme="minorHAnsi"/>
          <w:sz w:val="24"/>
          <w:szCs w:val="24"/>
          <w:lang w:val="be-BY"/>
        </w:rPr>
        <w:t xml:space="preserve"> (</w:t>
      </w:r>
      <w:r w:rsidRPr="00AF391B">
        <w:rPr>
          <w:rFonts w:cstheme="minorHAnsi"/>
          <w:sz w:val="24"/>
          <w:szCs w:val="24"/>
          <w:lang w:val="en-US"/>
        </w:rPr>
        <w:t>12</w:t>
      </w:r>
      <w:r w:rsidRPr="00AF391B">
        <w:rPr>
          <w:rFonts w:cstheme="minorHAnsi"/>
          <w:sz w:val="24"/>
          <w:szCs w:val="24"/>
          <w:lang w:val="be-BY"/>
        </w:rPr>
        <w:t>%</w:t>
      </w:r>
      <w:r w:rsidR="00F66CC1" w:rsidRPr="00AF391B">
        <w:rPr>
          <w:rFonts w:cstheme="minorHAnsi"/>
          <w:sz w:val="24"/>
          <w:szCs w:val="24"/>
          <w:lang w:val="en-US"/>
        </w:rPr>
        <w:t xml:space="preserve"> </w:t>
      </w:r>
      <w:r w:rsidRPr="00AF391B">
        <w:rPr>
          <w:rFonts w:cstheme="minorHAnsi"/>
          <w:sz w:val="24"/>
          <w:szCs w:val="24"/>
          <w:lang w:val="en-US"/>
        </w:rPr>
        <w:t>less than in</w:t>
      </w:r>
      <w:r w:rsidRPr="00AF391B">
        <w:rPr>
          <w:rFonts w:cstheme="minorHAnsi"/>
          <w:sz w:val="24"/>
          <w:szCs w:val="24"/>
          <w:lang w:val="be-BY"/>
        </w:rPr>
        <w:t xml:space="preserve"> 2020) </w:t>
      </w:r>
      <w:r w:rsidRPr="00AF391B">
        <w:rPr>
          <w:rFonts w:cstheme="minorHAnsi"/>
          <w:sz w:val="24"/>
          <w:szCs w:val="24"/>
          <w:lang w:val="en-US"/>
        </w:rPr>
        <w:t>in</w:t>
      </w:r>
      <w:r w:rsidRPr="00AF391B">
        <w:rPr>
          <w:rFonts w:cstheme="minorHAnsi"/>
          <w:sz w:val="24"/>
          <w:szCs w:val="24"/>
          <w:lang w:val="be-BY"/>
        </w:rPr>
        <w:t xml:space="preserve"> 2030 and </w:t>
      </w:r>
      <w:r w:rsidRPr="00AF391B">
        <w:rPr>
          <w:rFonts w:cstheme="minorHAnsi"/>
          <w:sz w:val="24"/>
          <w:szCs w:val="24"/>
          <w:lang w:val="en-US"/>
        </w:rPr>
        <w:t>1,414.97 ktoe</w:t>
      </w:r>
      <w:r w:rsidRPr="00AF391B">
        <w:rPr>
          <w:rFonts w:cstheme="minorHAnsi"/>
          <w:sz w:val="24"/>
          <w:szCs w:val="24"/>
          <w:lang w:val="be-BY"/>
        </w:rPr>
        <w:t xml:space="preserve"> (</w:t>
      </w:r>
      <w:r w:rsidRPr="00AF391B">
        <w:rPr>
          <w:rFonts w:cstheme="minorHAnsi"/>
          <w:sz w:val="24"/>
          <w:szCs w:val="24"/>
          <w:lang w:val="en-US"/>
        </w:rPr>
        <w:t>39</w:t>
      </w:r>
      <w:r w:rsidRPr="00AF391B">
        <w:rPr>
          <w:rFonts w:cstheme="minorHAnsi"/>
          <w:sz w:val="24"/>
          <w:szCs w:val="24"/>
          <w:lang w:val="be-BY"/>
        </w:rPr>
        <w:t xml:space="preserve">% </w:t>
      </w:r>
      <w:r w:rsidRPr="00AF391B">
        <w:rPr>
          <w:rFonts w:cstheme="minorHAnsi"/>
          <w:sz w:val="24"/>
          <w:szCs w:val="24"/>
          <w:lang w:val="en-US"/>
        </w:rPr>
        <w:t>less than in</w:t>
      </w:r>
      <w:r w:rsidRPr="00AF391B">
        <w:rPr>
          <w:rFonts w:cstheme="minorHAnsi"/>
          <w:sz w:val="24"/>
          <w:szCs w:val="24"/>
          <w:lang w:val="be-BY"/>
        </w:rPr>
        <w:t xml:space="preserve"> 2020) </w:t>
      </w:r>
      <w:r w:rsidRPr="00AF391B">
        <w:rPr>
          <w:rFonts w:cstheme="minorHAnsi"/>
          <w:sz w:val="24"/>
          <w:szCs w:val="24"/>
          <w:lang w:val="en-US"/>
        </w:rPr>
        <w:t>in</w:t>
      </w:r>
      <w:r w:rsidRPr="00AF391B">
        <w:rPr>
          <w:rFonts w:cstheme="minorHAnsi"/>
          <w:sz w:val="24"/>
          <w:szCs w:val="24"/>
          <w:lang w:val="be-BY"/>
        </w:rPr>
        <w:t xml:space="preserve"> 2050. Such a decrease in imports in WPM </w:t>
      </w:r>
      <w:r w:rsidRPr="00AF391B">
        <w:rPr>
          <w:rFonts w:cstheme="minorHAnsi"/>
          <w:sz w:val="24"/>
          <w:szCs w:val="24"/>
          <w:lang w:val="en-US"/>
        </w:rPr>
        <w:t>S</w:t>
      </w:r>
      <w:r w:rsidRPr="00AF391B">
        <w:rPr>
          <w:rFonts w:cstheme="minorHAnsi"/>
          <w:sz w:val="24"/>
          <w:szCs w:val="24"/>
          <w:lang w:val="be-BY"/>
        </w:rPr>
        <w:t xml:space="preserve">cenario is provided, first of all, by a reduction in oil products imports by </w:t>
      </w:r>
      <w:r w:rsidRPr="00AF391B">
        <w:rPr>
          <w:rFonts w:cstheme="minorHAnsi"/>
          <w:sz w:val="24"/>
          <w:szCs w:val="24"/>
          <w:lang w:val="en-US"/>
        </w:rPr>
        <w:t>51</w:t>
      </w:r>
      <w:r w:rsidRPr="00AF391B">
        <w:rPr>
          <w:rFonts w:cstheme="minorHAnsi"/>
          <w:sz w:val="24"/>
          <w:szCs w:val="24"/>
          <w:lang w:val="be-BY"/>
        </w:rPr>
        <w:t xml:space="preserve">% </w:t>
      </w:r>
      <w:r w:rsidRPr="00AF391B">
        <w:rPr>
          <w:rFonts w:cstheme="minorHAnsi"/>
          <w:sz w:val="24"/>
          <w:szCs w:val="24"/>
          <w:lang w:val="en-US"/>
        </w:rPr>
        <w:t>in</w:t>
      </w:r>
      <w:r w:rsidRPr="00AF391B">
        <w:rPr>
          <w:rFonts w:cstheme="minorHAnsi"/>
          <w:sz w:val="24"/>
          <w:szCs w:val="24"/>
          <w:lang w:val="be-BY"/>
        </w:rPr>
        <w:t xml:space="preserve"> 2050.</w:t>
      </w:r>
    </w:p>
    <w:p w14:paraId="5A208F83" w14:textId="1C38AB3D" w:rsidR="002C369A" w:rsidRPr="00AF391B" w:rsidRDefault="00F66CC1" w:rsidP="005C5841">
      <w:pPr>
        <w:jc w:val="both"/>
        <w:rPr>
          <w:rFonts w:cstheme="minorHAnsi"/>
          <w:sz w:val="24"/>
          <w:szCs w:val="24"/>
          <w:lang w:val="en-US"/>
        </w:rPr>
      </w:pPr>
      <w:r w:rsidRPr="00AF391B">
        <w:rPr>
          <w:rFonts w:cstheme="minorHAnsi"/>
          <w:sz w:val="24"/>
          <w:szCs w:val="24"/>
          <w:lang w:val="en-US"/>
        </w:rPr>
        <w:t>Macroeconomic, environmental, skills and social impacts of the planned policies and measures are presented in this section. An overview of investment needs lists the impact areas of energy and climate-related projects portfolio of International Organizations</w:t>
      </w:r>
      <w:r w:rsidR="00ED0D7B">
        <w:rPr>
          <w:rFonts w:cstheme="minorHAnsi"/>
          <w:sz w:val="24"/>
          <w:szCs w:val="24"/>
          <w:lang w:val="en-US"/>
        </w:rPr>
        <w:t xml:space="preserve"> </w:t>
      </w:r>
      <w:r w:rsidRPr="00AF391B">
        <w:rPr>
          <w:rFonts w:cstheme="minorHAnsi"/>
          <w:sz w:val="24"/>
          <w:szCs w:val="24"/>
          <w:lang w:val="en-US"/>
        </w:rPr>
        <w:t>and IFI’s in the Republic of Moldova. Required financing and benefits expected from key measures of the NECP are also presented in this section.</w:t>
      </w:r>
    </w:p>
    <w:p w14:paraId="2E2E6D02" w14:textId="77777777" w:rsidR="00F66CC1" w:rsidRPr="00AF391B" w:rsidRDefault="00F66CC1" w:rsidP="005C5841">
      <w:pPr>
        <w:jc w:val="both"/>
        <w:rPr>
          <w:rFonts w:cstheme="minorHAnsi"/>
          <w:sz w:val="24"/>
          <w:szCs w:val="24"/>
          <w:lang w:val="en-US"/>
        </w:rPr>
      </w:pPr>
      <w:r w:rsidRPr="00AF391B">
        <w:rPr>
          <w:rFonts w:cstheme="minorHAnsi"/>
          <w:sz w:val="24"/>
          <w:szCs w:val="24"/>
          <w:lang w:val="en-US"/>
        </w:rPr>
        <w:t>Impacts of planned policies and measures on other Contracting Parties (or Member States) and on regional cooperation are evaluated in the context of recent geo-political evolutions at regional level.</w:t>
      </w:r>
    </w:p>
    <w:p w14:paraId="3AA89B52" w14:textId="77777777" w:rsidR="005C5841" w:rsidRPr="00AF391B" w:rsidRDefault="005C5841" w:rsidP="00B6327C">
      <w:pPr>
        <w:pStyle w:val="ListParagraph"/>
        <w:numPr>
          <w:ilvl w:val="0"/>
          <w:numId w:val="11"/>
        </w:numPr>
        <w:rPr>
          <w:rFonts w:cstheme="minorHAnsi"/>
          <w:b/>
          <w:sz w:val="24"/>
          <w:szCs w:val="24"/>
        </w:rPr>
      </w:pPr>
      <w:r w:rsidRPr="00AF391B">
        <w:rPr>
          <w:rFonts w:cstheme="minorHAnsi"/>
          <w:b/>
          <w:sz w:val="24"/>
          <w:szCs w:val="24"/>
        </w:rPr>
        <w:lastRenderedPageBreak/>
        <w:t>Implementation Stages and Monitoring, Reporting and Evaluation Framework</w:t>
      </w:r>
    </w:p>
    <w:p w14:paraId="715B5FE5" w14:textId="77777777" w:rsidR="005C5841" w:rsidRPr="00AF391B" w:rsidRDefault="005C5841" w:rsidP="005C5841">
      <w:pPr>
        <w:pStyle w:val="BodyText"/>
        <w:spacing w:after="120"/>
        <w:ind w:right="128"/>
        <w:jc w:val="both"/>
        <w:rPr>
          <w:rFonts w:asciiTheme="minorHAnsi" w:hAnsiTheme="minorHAnsi" w:cstheme="minorHAnsi"/>
        </w:rPr>
      </w:pPr>
      <w:r w:rsidRPr="00AF391B">
        <w:rPr>
          <w:rFonts w:asciiTheme="minorHAnsi" w:hAnsiTheme="minorHAnsi" w:cstheme="minorHAnsi"/>
        </w:rPr>
        <w:t>Implementation of measures and policies detailed in the five dimensions of the NECP requires the involvement of the</w:t>
      </w:r>
      <w:r w:rsidRPr="00AF391B">
        <w:rPr>
          <w:rFonts w:asciiTheme="minorHAnsi" w:hAnsiTheme="minorHAnsi" w:cstheme="minorHAnsi"/>
          <w:spacing w:val="1"/>
        </w:rPr>
        <w:t xml:space="preserve"> </w:t>
      </w:r>
      <w:r w:rsidRPr="00AF391B">
        <w:rPr>
          <w:rFonts w:asciiTheme="minorHAnsi" w:hAnsiTheme="minorHAnsi" w:cstheme="minorHAnsi"/>
        </w:rPr>
        <w:t>most</w:t>
      </w:r>
      <w:r w:rsidRPr="00AF391B">
        <w:rPr>
          <w:rFonts w:asciiTheme="minorHAnsi" w:hAnsiTheme="minorHAnsi" w:cstheme="minorHAnsi"/>
          <w:spacing w:val="1"/>
        </w:rPr>
        <w:t xml:space="preserve"> </w:t>
      </w:r>
      <w:r w:rsidRPr="00AF391B">
        <w:rPr>
          <w:rFonts w:asciiTheme="minorHAnsi" w:hAnsiTheme="minorHAnsi" w:cstheme="minorHAnsi"/>
        </w:rPr>
        <w:t>powerful</w:t>
      </w:r>
      <w:r w:rsidRPr="00AF391B">
        <w:rPr>
          <w:rFonts w:asciiTheme="minorHAnsi" w:hAnsiTheme="minorHAnsi" w:cstheme="minorHAnsi"/>
          <w:spacing w:val="1"/>
        </w:rPr>
        <w:t xml:space="preserve"> </w:t>
      </w:r>
      <w:r w:rsidRPr="00AF391B">
        <w:rPr>
          <w:rFonts w:asciiTheme="minorHAnsi" w:hAnsiTheme="minorHAnsi" w:cstheme="minorHAnsi"/>
        </w:rPr>
        <w:t>national</w:t>
      </w:r>
      <w:r w:rsidRPr="00AF391B">
        <w:rPr>
          <w:rFonts w:asciiTheme="minorHAnsi" w:hAnsiTheme="minorHAnsi" w:cstheme="minorHAnsi"/>
          <w:spacing w:val="1"/>
        </w:rPr>
        <w:t xml:space="preserve"> </w:t>
      </w:r>
      <w:r w:rsidRPr="00AF391B">
        <w:rPr>
          <w:rFonts w:asciiTheme="minorHAnsi" w:hAnsiTheme="minorHAnsi" w:cstheme="minorHAnsi"/>
        </w:rPr>
        <w:t>institutions,</w:t>
      </w:r>
      <w:r w:rsidRPr="00AF391B">
        <w:rPr>
          <w:rFonts w:asciiTheme="minorHAnsi" w:hAnsiTheme="minorHAnsi" w:cstheme="minorHAnsi"/>
          <w:spacing w:val="1"/>
        </w:rPr>
        <w:t xml:space="preserve"> </w:t>
      </w:r>
      <w:r w:rsidRPr="00AF391B">
        <w:rPr>
          <w:rFonts w:asciiTheme="minorHAnsi" w:hAnsiTheme="minorHAnsi" w:cstheme="minorHAnsi"/>
        </w:rPr>
        <w:t>efficient</w:t>
      </w:r>
      <w:r w:rsidRPr="00AF391B">
        <w:rPr>
          <w:rFonts w:asciiTheme="minorHAnsi" w:hAnsiTheme="minorHAnsi" w:cstheme="minorHAnsi"/>
          <w:spacing w:val="1"/>
        </w:rPr>
        <w:t xml:space="preserve"> </w:t>
      </w:r>
      <w:r w:rsidRPr="00AF391B">
        <w:rPr>
          <w:rFonts w:asciiTheme="minorHAnsi" w:hAnsiTheme="minorHAnsi" w:cstheme="minorHAnsi"/>
        </w:rPr>
        <w:t>management,</w:t>
      </w:r>
      <w:r w:rsidRPr="00AF391B">
        <w:rPr>
          <w:rFonts w:asciiTheme="minorHAnsi" w:hAnsiTheme="minorHAnsi" w:cstheme="minorHAnsi"/>
          <w:spacing w:val="1"/>
        </w:rPr>
        <w:t xml:space="preserve"> </w:t>
      </w:r>
      <w:r w:rsidRPr="00AF391B">
        <w:rPr>
          <w:rFonts w:asciiTheme="minorHAnsi" w:hAnsiTheme="minorHAnsi" w:cstheme="minorHAnsi"/>
        </w:rPr>
        <w:t>as</w:t>
      </w:r>
      <w:r w:rsidRPr="00AF391B">
        <w:rPr>
          <w:rFonts w:asciiTheme="minorHAnsi" w:hAnsiTheme="minorHAnsi" w:cstheme="minorHAnsi"/>
          <w:spacing w:val="1"/>
        </w:rPr>
        <w:t xml:space="preserve"> </w:t>
      </w:r>
      <w:r w:rsidRPr="00AF391B">
        <w:rPr>
          <w:rFonts w:asciiTheme="minorHAnsi" w:hAnsiTheme="minorHAnsi" w:cstheme="minorHAnsi"/>
        </w:rPr>
        <w:t>well</w:t>
      </w:r>
      <w:r w:rsidRPr="00AF391B">
        <w:rPr>
          <w:rFonts w:asciiTheme="minorHAnsi" w:hAnsiTheme="minorHAnsi" w:cstheme="minorHAnsi"/>
          <w:spacing w:val="1"/>
        </w:rPr>
        <w:t xml:space="preserve"> </w:t>
      </w:r>
      <w:r w:rsidRPr="00AF391B">
        <w:rPr>
          <w:rFonts w:asciiTheme="minorHAnsi" w:hAnsiTheme="minorHAnsi" w:cstheme="minorHAnsi"/>
        </w:rPr>
        <w:t>as</w:t>
      </w:r>
      <w:r w:rsidRPr="00AF391B">
        <w:rPr>
          <w:rFonts w:asciiTheme="minorHAnsi" w:hAnsiTheme="minorHAnsi" w:cstheme="minorHAnsi"/>
          <w:spacing w:val="1"/>
        </w:rPr>
        <w:t xml:space="preserve"> </w:t>
      </w:r>
      <w:r w:rsidRPr="00AF391B">
        <w:rPr>
          <w:rFonts w:asciiTheme="minorHAnsi" w:hAnsiTheme="minorHAnsi" w:cstheme="minorHAnsi"/>
        </w:rPr>
        <w:t>adequate</w:t>
      </w:r>
      <w:r w:rsidRPr="00AF391B">
        <w:rPr>
          <w:rFonts w:asciiTheme="minorHAnsi" w:hAnsiTheme="minorHAnsi" w:cstheme="minorHAnsi"/>
          <w:spacing w:val="1"/>
        </w:rPr>
        <w:t xml:space="preserve"> </w:t>
      </w:r>
      <w:r w:rsidRPr="00AF391B">
        <w:rPr>
          <w:rFonts w:asciiTheme="minorHAnsi" w:hAnsiTheme="minorHAnsi" w:cstheme="minorHAnsi"/>
        </w:rPr>
        <w:t>international</w:t>
      </w:r>
      <w:r w:rsidRPr="00AF391B">
        <w:rPr>
          <w:rFonts w:asciiTheme="minorHAnsi" w:hAnsiTheme="minorHAnsi" w:cstheme="minorHAnsi"/>
          <w:spacing w:val="1"/>
        </w:rPr>
        <w:t xml:space="preserve"> </w:t>
      </w:r>
      <w:r w:rsidRPr="00AF391B">
        <w:rPr>
          <w:rFonts w:asciiTheme="minorHAnsi" w:hAnsiTheme="minorHAnsi" w:cstheme="minorHAnsi"/>
        </w:rPr>
        <w:t>assistance. In order to achieve the targets set in the document, donors’ financial</w:t>
      </w:r>
      <w:r w:rsidRPr="00AF391B">
        <w:rPr>
          <w:rFonts w:asciiTheme="minorHAnsi" w:hAnsiTheme="minorHAnsi" w:cstheme="minorHAnsi"/>
          <w:spacing w:val="1"/>
        </w:rPr>
        <w:t xml:space="preserve"> </w:t>
      </w:r>
      <w:r w:rsidRPr="00AF391B">
        <w:rPr>
          <w:rFonts w:asciiTheme="minorHAnsi" w:hAnsiTheme="minorHAnsi" w:cstheme="minorHAnsi"/>
        </w:rPr>
        <w:t>support</w:t>
      </w:r>
      <w:r w:rsidRPr="00AF391B">
        <w:rPr>
          <w:rFonts w:asciiTheme="minorHAnsi" w:hAnsiTheme="minorHAnsi" w:cstheme="minorHAnsi"/>
          <w:spacing w:val="-1"/>
        </w:rPr>
        <w:t xml:space="preserve"> </w:t>
      </w:r>
      <w:r w:rsidRPr="00AF391B">
        <w:rPr>
          <w:rFonts w:asciiTheme="minorHAnsi" w:hAnsiTheme="minorHAnsi" w:cstheme="minorHAnsi"/>
        </w:rPr>
        <w:t>is also needed.</w:t>
      </w:r>
    </w:p>
    <w:p w14:paraId="597ABC7E" w14:textId="77777777" w:rsidR="005C5841" w:rsidRPr="00AF391B" w:rsidRDefault="005C5841" w:rsidP="005C5841">
      <w:pPr>
        <w:tabs>
          <w:tab w:val="left" w:pos="1312"/>
        </w:tabs>
        <w:spacing w:before="1" w:after="120"/>
        <w:ind w:right="124"/>
        <w:jc w:val="both"/>
        <w:rPr>
          <w:rFonts w:cstheme="minorHAnsi"/>
          <w:sz w:val="24"/>
          <w:szCs w:val="24"/>
          <w:lang w:val="en-US"/>
        </w:rPr>
      </w:pPr>
      <w:r w:rsidRPr="00AF391B">
        <w:rPr>
          <w:rFonts w:cstheme="minorHAnsi"/>
          <w:sz w:val="24"/>
          <w:szCs w:val="24"/>
          <w:lang w:val="en-US"/>
        </w:rPr>
        <w:t>Monitoring of this</w:t>
      </w:r>
      <w:r w:rsidRPr="00AF391B">
        <w:rPr>
          <w:rFonts w:cstheme="minorHAnsi"/>
          <w:spacing w:val="1"/>
          <w:sz w:val="24"/>
          <w:szCs w:val="24"/>
          <w:lang w:val="en-US"/>
        </w:rPr>
        <w:t xml:space="preserve"> NECP</w:t>
      </w:r>
      <w:r w:rsidRPr="00AF391B">
        <w:rPr>
          <w:rFonts w:cstheme="minorHAnsi"/>
          <w:sz w:val="24"/>
          <w:szCs w:val="24"/>
          <w:lang w:val="en-US"/>
        </w:rPr>
        <w:t xml:space="preserve"> implementation will be carried out jointly by the</w:t>
      </w:r>
      <w:r w:rsidRPr="00AF391B">
        <w:rPr>
          <w:rFonts w:cstheme="minorHAnsi"/>
          <w:spacing w:val="1"/>
          <w:sz w:val="24"/>
          <w:szCs w:val="24"/>
          <w:lang w:val="en-US"/>
        </w:rPr>
        <w:t xml:space="preserve"> </w:t>
      </w:r>
      <w:r w:rsidRPr="00AF391B">
        <w:rPr>
          <w:rFonts w:cstheme="minorHAnsi"/>
          <w:sz w:val="24"/>
          <w:szCs w:val="24"/>
          <w:lang w:val="en-US"/>
        </w:rPr>
        <w:t>Ministry of</w:t>
      </w:r>
      <w:r w:rsidRPr="00AF391B">
        <w:rPr>
          <w:rFonts w:cstheme="minorHAnsi"/>
          <w:spacing w:val="1"/>
          <w:sz w:val="24"/>
          <w:szCs w:val="24"/>
          <w:lang w:val="en-US"/>
        </w:rPr>
        <w:t xml:space="preserve"> Energy and the Ministry of Environment</w:t>
      </w:r>
      <w:r w:rsidRPr="00AF391B">
        <w:rPr>
          <w:rFonts w:cstheme="minorHAnsi"/>
          <w:sz w:val="24"/>
          <w:szCs w:val="24"/>
          <w:lang w:val="en-US"/>
        </w:rPr>
        <w:t>. Aiming at ensuring the monitoring process, a monitoring group, which will periodically</w:t>
      </w:r>
      <w:r w:rsidRPr="00AF391B">
        <w:rPr>
          <w:rFonts w:cstheme="minorHAnsi"/>
          <w:spacing w:val="1"/>
          <w:sz w:val="24"/>
          <w:szCs w:val="24"/>
          <w:lang w:val="en-US"/>
        </w:rPr>
        <w:t xml:space="preserve"> </w:t>
      </w:r>
      <w:r w:rsidRPr="00AF391B">
        <w:rPr>
          <w:rFonts w:cstheme="minorHAnsi"/>
          <w:sz w:val="24"/>
          <w:szCs w:val="24"/>
          <w:lang w:val="en-US"/>
        </w:rPr>
        <w:t>evaluate the implementation of policies and measures and the achievement targets, will be created by the order of the Minister of</w:t>
      </w:r>
      <w:r w:rsidRPr="00AF391B">
        <w:rPr>
          <w:rFonts w:cstheme="minorHAnsi"/>
          <w:spacing w:val="1"/>
          <w:sz w:val="24"/>
          <w:szCs w:val="24"/>
          <w:lang w:val="en-US"/>
        </w:rPr>
        <w:t xml:space="preserve"> Energy</w:t>
      </w:r>
      <w:r w:rsidRPr="00AF391B">
        <w:rPr>
          <w:rFonts w:cstheme="minorHAnsi"/>
          <w:sz w:val="24"/>
          <w:szCs w:val="24"/>
          <w:lang w:val="en-US"/>
        </w:rPr>
        <w:t>.</w:t>
      </w:r>
      <w:r w:rsidRPr="00AF391B">
        <w:rPr>
          <w:rFonts w:cstheme="minorHAnsi"/>
          <w:spacing w:val="1"/>
          <w:sz w:val="24"/>
          <w:szCs w:val="24"/>
          <w:lang w:val="en-US"/>
        </w:rPr>
        <w:t xml:space="preserve"> </w:t>
      </w:r>
      <w:r w:rsidRPr="00AF391B">
        <w:rPr>
          <w:rFonts w:cstheme="minorHAnsi"/>
          <w:sz w:val="24"/>
          <w:szCs w:val="24"/>
          <w:lang w:val="en-US"/>
        </w:rPr>
        <w:t>Based</w:t>
      </w:r>
      <w:r w:rsidRPr="00AF391B">
        <w:rPr>
          <w:rFonts w:cstheme="minorHAnsi"/>
          <w:spacing w:val="1"/>
          <w:sz w:val="24"/>
          <w:szCs w:val="24"/>
          <w:lang w:val="en-US"/>
        </w:rPr>
        <w:t xml:space="preserve"> </w:t>
      </w:r>
      <w:r w:rsidRPr="00AF391B">
        <w:rPr>
          <w:rFonts w:cstheme="minorHAnsi"/>
          <w:sz w:val="24"/>
          <w:szCs w:val="24"/>
          <w:lang w:val="en-US"/>
        </w:rPr>
        <w:t>on</w:t>
      </w:r>
      <w:r w:rsidRPr="00AF391B">
        <w:rPr>
          <w:rFonts w:cstheme="minorHAnsi"/>
          <w:spacing w:val="1"/>
          <w:sz w:val="24"/>
          <w:szCs w:val="24"/>
          <w:lang w:val="en-US"/>
        </w:rPr>
        <w:t xml:space="preserve"> </w:t>
      </w:r>
      <w:r w:rsidRPr="00AF391B">
        <w:rPr>
          <w:rFonts w:cstheme="minorHAnsi"/>
          <w:sz w:val="24"/>
          <w:szCs w:val="24"/>
          <w:lang w:val="en-US"/>
        </w:rPr>
        <w:t>the information</w:t>
      </w:r>
      <w:r w:rsidRPr="00AF391B">
        <w:rPr>
          <w:rFonts w:cstheme="minorHAnsi"/>
          <w:spacing w:val="1"/>
          <w:sz w:val="24"/>
          <w:szCs w:val="24"/>
          <w:lang w:val="en-US"/>
        </w:rPr>
        <w:t xml:space="preserve"> </w:t>
      </w:r>
      <w:r w:rsidRPr="00AF391B">
        <w:rPr>
          <w:rFonts w:cstheme="minorHAnsi"/>
          <w:sz w:val="24"/>
          <w:szCs w:val="24"/>
          <w:lang w:val="en-US"/>
        </w:rPr>
        <w:t>collected</w:t>
      </w:r>
      <w:r w:rsidRPr="00AF391B">
        <w:rPr>
          <w:rFonts w:cstheme="minorHAnsi"/>
          <w:spacing w:val="1"/>
          <w:sz w:val="24"/>
          <w:szCs w:val="24"/>
          <w:lang w:val="en-US"/>
        </w:rPr>
        <w:t xml:space="preserve"> </w:t>
      </w:r>
      <w:r w:rsidRPr="00AF391B">
        <w:rPr>
          <w:rFonts w:cstheme="minorHAnsi"/>
          <w:sz w:val="24"/>
          <w:szCs w:val="24"/>
          <w:lang w:val="en-US"/>
        </w:rPr>
        <w:t>and</w:t>
      </w:r>
      <w:r w:rsidRPr="00AF391B">
        <w:rPr>
          <w:rFonts w:cstheme="minorHAnsi"/>
          <w:spacing w:val="-57"/>
          <w:sz w:val="24"/>
          <w:szCs w:val="24"/>
          <w:lang w:val="en-US"/>
        </w:rPr>
        <w:t xml:space="preserve"> </w:t>
      </w:r>
      <w:r w:rsidRPr="00AF391B">
        <w:rPr>
          <w:rFonts w:cstheme="minorHAnsi"/>
          <w:sz w:val="24"/>
          <w:szCs w:val="24"/>
          <w:lang w:val="en-US"/>
        </w:rPr>
        <w:t>systematized,</w:t>
      </w:r>
      <w:r w:rsidRPr="00AF391B">
        <w:rPr>
          <w:rFonts w:cstheme="minorHAnsi"/>
          <w:spacing w:val="-1"/>
          <w:sz w:val="24"/>
          <w:szCs w:val="24"/>
          <w:lang w:val="en-US"/>
        </w:rPr>
        <w:t xml:space="preserve"> </w:t>
      </w:r>
      <w:r w:rsidRPr="00AF391B">
        <w:rPr>
          <w:rFonts w:cstheme="minorHAnsi"/>
          <w:sz w:val="24"/>
          <w:szCs w:val="24"/>
          <w:lang w:val="en-US"/>
        </w:rPr>
        <w:t>it</w:t>
      </w:r>
      <w:r w:rsidRPr="00AF391B">
        <w:rPr>
          <w:rFonts w:cstheme="minorHAnsi"/>
          <w:spacing w:val="-1"/>
          <w:sz w:val="24"/>
          <w:szCs w:val="24"/>
          <w:lang w:val="en-US"/>
        </w:rPr>
        <w:t xml:space="preserve"> </w:t>
      </w:r>
      <w:r w:rsidRPr="00AF391B">
        <w:rPr>
          <w:rFonts w:cstheme="minorHAnsi"/>
          <w:sz w:val="24"/>
          <w:szCs w:val="24"/>
          <w:lang w:val="en-US"/>
        </w:rPr>
        <w:t>will</w:t>
      </w:r>
      <w:r w:rsidRPr="00AF391B">
        <w:rPr>
          <w:rFonts w:cstheme="minorHAnsi"/>
          <w:spacing w:val="1"/>
          <w:sz w:val="24"/>
          <w:szCs w:val="24"/>
          <w:lang w:val="en-US"/>
        </w:rPr>
        <w:t xml:space="preserve"> </w:t>
      </w:r>
      <w:r w:rsidRPr="00AF391B">
        <w:rPr>
          <w:rFonts w:cstheme="minorHAnsi"/>
          <w:sz w:val="24"/>
          <w:szCs w:val="24"/>
          <w:lang w:val="en-US"/>
        </w:rPr>
        <w:t>draft</w:t>
      </w:r>
      <w:r w:rsidRPr="00AF391B">
        <w:rPr>
          <w:rFonts w:cstheme="minorHAnsi"/>
          <w:spacing w:val="-1"/>
          <w:sz w:val="24"/>
          <w:szCs w:val="24"/>
          <w:lang w:val="en-US"/>
        </w:rPr>
        <w:t xml:space="preserve"> </w:t>
      </w:r>
      <w:r w:rsidRPr="00AF391B">
        <w:rPr>
          <w:rFonts w:cstheme="minorHAnsi"/>
          <w:sz w:val="24"/>
          <w:szCs w:val="24"/>
          <w:lang w:val="en-US"/>
        </w:rPr>
        <w:t>the annual</w:t>
      </w:r>
      <w:r w:rsidRPr="00AF391B">
        <w:rPr>
          <w:rFonts w:cstheme="minorHAnsi"/>
          <w:spacing w:val="-1"/>
          <w:sz w:val="24"/>
          <w:szCs w:val="24"/>
          <w:lang w:val="en-US"/>
        </w:rPr>
        <w:t xml:space="preserve"> </w:t>
      </w:r>
      <w:r w:rsidRPr="00AF391B">
        <w:rPr>
          <w:rFonts w:cstheme="minorHAnsi"/>
          <w:sz w:val="24"/>
          <w:szCs w:val="24"/>
          <w:lang w:val="en-US"/>
        </w:rPr>
        <w:t>implementation</w:t>
      </w:r>
      <w:r w:rsidRPr="00AF391B">
        <w:rPr>
          <w:rFonts w:cstheme="minorHAnsi"/>
          <w:spacing w:val="-1"/>
          <w:sz w:val="24"/>
          <w:szCs w:val="24"/>
          <w:lang w:val="en-US"/>
        </w:rPr>
        <w:t xml:space="preserve"> </w:t>
      </w:r>
      <w:r w:rsidRPr="00AF391B">
        <w:rPr>
          <w:rFonts w:cstheme="minorHAnsi"/>
          <w:sz w:val="24"/>
          <w:szCs w:val="24"/>
          <w:lang w:val="en-US"/>
        </w:rPr>
        <w:t>report</w:t>
      </w:r>
      <w:r w:rsidRPr="00AF391B">
        <w:rPr>
          <w:rFonts w:cstheme="minorHAnsi"/>
          <w:spacing w:val="-1"/>
          <w:sz w:val="24"/>
          <w:szCs w:val="24"/>
          <w:lang w:val="en-US"/>
        </w:rPr>
        <w:t xml:space="preserve"> </w:t>
      </w:r>
      <w:r w:rsidRPr="00AF391B">
        <w:rPr>
          <w:rFonts w:cstheme="minorHAnsi"/>
          <w:sz w:val="24"/>
          <w:szCs w:val="24"/>
          <w:lang w:val="en-US"/>
        </w:rPr>
        <w:t>and submit</w:t>
      </w:r>
      <w:r w:rsidRPr="00AF391B">
        <w:rPr>
          <w:rFonts w:cstheme="minorHAnsi"/>
          <w:spacing w:val="-1"/>
          <w:sz w:val="24"/>
          <w:szCs w:val="24"/>
          <w:lang w:val="en-US"/>
        </w:rPr>
        <w:t xml:space="preserve"> </w:t>
      </w:r>
      <w:r w:rsidRPr="00AF391B">
        <w:rPr>
          <w:rFonts w:cstheme="minorHAnsi"/>
          <w:sz w:val="24"/>
          <w:szCs w:val="24"/>
          <w:lang w:val="en-US"/>
        </w:rPr>
        <w:t>it</w:t>
      </w:r>
      <w:r w:rsidRPr="00AF391B">
        <w:rPr>
          <w:rFonts w:cstheme="minorHAnsi"/>
          <w:spacing w:val="-1"/>
          <w:sz w:val="24"/>
          <w:szCs w:val="24"/>
          <w:lang w:val="en-US"/>
        </w:rPr>
        <w:t xml:space="preserve"> </w:t>
      </w:r>
      <w:r w:rsidRPr="00AF391B">
        <w:rPr>
          <w:rFonts w:cstheme="minorHAnsi"/>
          <w:sz w:val="24"/>
          <w:szCs w:val="24"/>
          <w:lang w:val="en-US"/>
        </w:rPr>
        <w:t>to</w:t>
      </w:r>
      <w:r w:rsidRPr="00AF391B">
        <w:rPr>
          <w:rFonts w:cstheme="minorHAnsi"/>
          <w:spacing w:val="-1"/>
          <w:sz w:val="24"/>
          <w:szCs w:val="24"/>
          <w:lang w:val="en-US"/>
        </w:rPr>
        <w:t xml:space="preserve"> </w:t>
      </w:r>
      <w:r w:rsidRPr="00AF391B">
        <w:rPr>
          <w:rFonts w:cstheme="minorHAnsi"/>
          <w:sz w:val="24"/>
          <w:szCs w:val="24"/>
          <w:lang w:val="en-US"/>
        </w:rPr>
        <w:t>the</w:t>
      </w:r>
      <w:r w:rsidRPr="00AF391B">
        <w:rPr>
          <w:rFonts w:cstheme="minorHAnsi"/>
          <w:spacing w:val="-1"/>
          <w:sz w:val="24"/>
          <w:szCs w:val="24"/>
          <w:lang w:val="en-US"/>
        </w:rPr>
        <w:t xml:space="preserve"> </w:t>
      </w:r>
      <w:r w:rsidRPr="00AF391B">
        <w:rPr>
          <w:rFonts w:cstheme="minorHAnsi"/>
          <w:sz w:val="24"/>
          <w:szCs w:val="24"/>
          <w:lang w:val="en-US"/>
        </w:rPr>
        <w:t>Government.</w:t>
      </w:r>
    </w:p>
    <w:p w14:paraId="549E019E" w14:textId="77777777" w:rsidR="005C5841" w:rsidRPr="00AF391B" w:rsidRDefault="005C5841" w:rsidP="005C5841">
      <w:pPr>
        <w:pStyle w:val="BodyText"/>
        <w:spacing w:after="120"/>
        <w:ind w:right="125"/>
        <w:jc w:val="both"/>
        <w:rPr>
          <w:rFonts w:asciiTheme="minorHAnsi" w:hAnsiTheme="minorHAnsi" w:cstheme="minorHAnsi"/>
        </w:rPr>
      </w:pPr>
      <w:r w:rsidRPr="00AF391B">
        <w:rPr>
          <w:rFonts w:asciiTheme="minorHAnsi" w:hAnsiTheme="minorHAnsi" w:cstheme="minorHAnsi"/>
        </w:rPr>
        <w:t>National</w:t>
      </w:r>
      <w:r w:rsidRPr="00AF391B">
        <w:rPr>
          <w:rFonts w:asciiTheme="minorHAnsi" w:hAnsiTheme="minorHAnsi" w:cstheme="minorHAnsi"/>
          <w:spacing w:val="1"/>
        </w:rPr>
        <w:t xml:space="preserve"> </w:t>
      </w:r>
      <w:r w:rsidRPr="00AF391B">
        <w:rPr>
          <w:rFonts w:asciiTheme="minorHAnsi" w:hAnsiTheme="minorHAnsi" w:cstheme="minorHAnsi"/>
        </w:rPr>
        <w:t>GHG</w:t>
      </w:r>
      <w:r w:rsidRPr="00AF391B">
        <w:rPr>
          <w:rFonts w:asciiTheme="minorHAnsi" w:hAnsiTheme="minorHAnsi" w:cstheme="minorHAnsi"/>
          <w:spacing w:val="1"/>
        </w:rPr>
        <w:t xml:space="preserve"> </w:t>
      </w:r>
      <w:r w:rsidRPr="00AF391B">
        <w:rPr>
          <w:rFonts w:asciiTheme="minorHAnsi" w:hAnsiTheme="minorHAnsi" w:cstheme="minorHAnsi"/>
        </w:rPr>
        <w:t>emissions</w:t>
      </w:r>
      <w:r w:rsidRPr="00AF391B">
        <w:rPr>
          <w:rFonts w:asciiTheme="minorHAnsi" w:hAnsiTheme="minorHAnsi" w:cstheme="minorHAnsi"/>
          <w:spacing w:val="1"/>
        </w:rPr>
        <w:t xml:space="preserve"> </w:t>
      </w:r>
      <w:r w:rsidRPr="00AF391B">
        <w:rPr>
          <w:rFonts w:asciiTheme="minorHAnsi" w:hAnsiTheme="minorHAnsi" w:cstheme="minorHAnsi"/>
        </w:rPr>
        <w:t>and</w:t>
      </w:r>
      <w:r w:rsidRPr="00AF391B">
        <w:rPr>
          <w:rFonts w:asciiTheme="minorHAnsi" w:hAnsiTheme="minorHAnsi" w:cstheme="minorHAnsi"/>
          <w:spacing w:val="1"/>
        </w:rPr>
        <w:t xml:space="preserve"> </w:t>
      </w:r>
      <w:r w:rsidRPr="00AF391B">
        <w:rPr>
          <w:rFonts w:asciiTheme="minorHAnsi" w:hAnsiTheme="minorHAnsi" w:cstheme="minorHAnsi"/>
        </w:rPr>
        <w:t>evolution</w:t>
      </w:r>
      <w:r w:rsidRPr="00AF391B">
        <w:rPr>
          <w:rFonts w:asciiTheme="minorHAnsi" w:hAnsiTheme="minorHAnsi" w:cstheme="minorHAnsi"/>
          <w:spacing w:val="1"/>
        </w:rPr>
        <w:t xml:space="preserve"> </w:t>
      </w:r>
      <w:r w:rsidRPr="00AF391B">
        <w:rPr>
          <w:rFonts w:asciiTheme="minorHAnsi" w:hAnsiTheme="minorHAnsi" w:cstheme="minorHAnsi"/>
        </w:rPr>
        <w:t>trends</w:t>
      </w:r>
      <w:r w:rsidRPr="00AF391B">
        <w:rPr>
          <w:rFonts w:asciiTheme="minorHAnsi" w:hAnsiTheme="minorHAnsi" w:cstheme="minorHAnsi"/>
          <w:spacing w:val="1"/>
        </w:rPr>
        <w:t xml:space="preserve"> </w:t>
      </w:r>
      <w:r w:rsidRPr="00AF391B">
        <w:rPr>
          <w:rFonts w:asciiTheme="minorHAnsi" w:hAnsiTheme="minorHAnsi" w:cstheme="minorHAnsi"/>
        </w:rPr>
        <w:t>are periodically reported</w:t>
      </w:r>
      <w:r w:rsidRPr="00AF391B">
        <w:rPr>
          <w:rFonts w:asciiTheme="minorHAnsi" w:hAnsiTheme="minorHAnsi" w:cstheme="minorHAnsi"/>
          <w:spacing w:val="1"/>
        </w:rPr>
        <w:t xml:space="preserve"> </w:t>
      </w:r>
      <w:r w:rsidRPr="00AF391B">
        <w:rPr>
          <w:rFonts w:asciiTheme="minorHAnsi" w:hAnsiTheme="minorHAnsi" w:cstheme="minorHAnsi"/>
        </w:rPr>
        <w:t>in</w:t>
      </w:r>
      <w:r w:rsidRPr="00AF391B">
        <w:rPr>
          <w:rFonts w:asciiTheme="minorHAnsi" w:hAnsiTheme="minorHAnsi" w:cstheme="minorHAnsi"/>
          <w:spacing w:val="1"/>
        </w:rPr>
        <w:t xml:space="preserve"> </w:t>
      </w:r>
      <w:r w:rsidRPr="00AF391B">
        <w:rPr>
          <w:rFonts w:asciiTheme="minorHAnsi" w:hAnsiTheme="minorHAnsi" w:cstheme="minorHAnsi"/>
        </w:rPr>
        <w:t>the national</w:t>
      </w:r>
      <w:r w:rsidRPr="00AF391B">
        <w:rPr>
          <w:rFonts w:asciiTheme="minorHAnsi" w:hAnsiTheme="minorHAnsi" w:cstheme="minorHAnsi"/>
          <w:spacing w:val="1"/>
        </w:rPr>
        <w:t xml:space="preserve"> </w:t>
      </w:r>
      <w:r w:rsidRPr="00AF391B">
        <w:rPr>
          <w:rFonts w:asciiTheme="minorHAnsi" w:hAnsiTheme="minorHAnsi" w:cstheme="minorHAnsi"/>
        </w:rPr>
        <w:t>communications of the Republic of Moldova to the UNFCCC (since 2000), respectively in the</w:t>
      </w:r>
      <w:r w:rsidRPr="00AF391B">
        <w:rPr>
          <w:rFonts w:asciiTheme="minorHAnsi" w:hAnsiTheme="minorHAnsi" w:cstheme="minorHAnsi"/>
          <w:spacing w:val="1"/>
        </w:rPr>
        <w:t xml:space="preserve"> </w:t>
      </w:r>
      <w:r w:rsidRPr="00AF391B">
        <w:rPr>
          <w:rFonts w:asciiTheme="minorHAnsi" w:hAnsiTheme="minorHAnsi" w:cstheme="minorHAnsi"/>
        </w:rPr>
        <w:t xml:space="preserve">national inventory reports (since 2010). </w:t>
      </w:r>
    </w:p>
    <w:p w14:paraId="4CB0EE0D" w14:textId="77777777" w:rsidR="005C5841" w:rsidRPr="00AF391B" w:rsidRDefault="005C5841" w:rsidP="005C5841">
      <w:pPr>
        <w:tabs>
          <w:tab w:val="left" w:pos="1213"/>
        </w:tabs>
        <w:spacing w:after="120"/>
        <w:ind w:right="124"/>
        <w:jc w:val="both"/>
        <w:rPr>
          <w:rFonts w:cstheme="minorHAnsi"/>
          <w:sz w:val="24"/>
          <w:szCs w:val="24"/>
          <w:lang w:val="en-US"/>
        </w:rPr>
      </w:pPr>
      <w:r w:rsidRPr="00AF391B">
        <w:rPr>
          <w:rFonts w:cstheme="minorHAnsi"/>
          <w:sz w:val="24"/>
          <w:szCs w:val="24"/>
          <w:lang w:val="en-US"/>
        </w:rPr>
        <w:t>Annual monitoring reports will be developed within the monitoring process, which will</w:t>
      </w:r>
      <w:r w:rsidRPr="00AF391B">
        <w:rPr>
          <w:rFonts w:cstheme="minorHAnsi"/>
          <w:spacing w:val="1"/>
          <w:sz w:val="24"/>
          <w:szCs w:val="24"/>
          <w:lang w:val="en-US"/>
        </w:rPr>
        <w:t xml:space="preserve"> </w:t>
      </w:r>
      <w:r w:rsidRPr="00AF391B">
        <w:rPr>
          <w:rFonts w:cstheme="minorHAnsi"/>
          <w:sz w:val="24"/>
          <w:szCs w:val="24"/>
          <w:lang w:val="en-US"/>
        </w:rPr>
        <w:t xml:space="preserve">include information on the implementation measures and policies, and on the progress towards the achievement of each individual target mentioned in this NECP. </w:t>
      </w:r>
    </w:p>
    <w:p w14:paraId="3AA958E4" w14:textId="77777777" w:rsidR="00CA2CC3" w:rsidRPr="00AF391B" w:rsidRDefault="005C5841" w:rsidP="005C5841">
      <w:pPr>
        <w:tabs>
          <w:tab w:val="left" w:pos="1213"/>
        </w:tabs>
        <w:spacing w:after="120"/>
        <w:ind w:right="124"/>
        <w:jc w:val="both"/>
        <w:rPr>
          <w:rFonts w:cstheme="minorHAnsi"/>
          <w:sz w:val="24"/>
          <w:szCs w:val="24"/>
          <w:lang w:val="en-US"/>
        </w:rPr>
      </w:pPr>
      <w:r w:rsidRPr="00AF391B">
        <w:rPr>
          <w:rFonts w:cstheme="minorHAnsi"/>
          <w:sz w:val="24"/>
          <w:szCs w:val="24"/>
          <w:lang w:val="en-US"/>
        </w:rPr>
        <w:t xml:space="preserve">In coordination with the Energy Community Secretariat, the document will be revised and updated every 2 years starting in 2025. After each iteration, the updated version of the document will undergo a complete monitoring, reporting and evaluation process and will be approved by the Government of Moldova. </w:t>
      </w:r>
    </w:p>
    <w:sectPr w:rsidR="00CA2CC3" w:rsidRPr="00AF391B" w:rsidSect="00C30B2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829AA0" w16cex:dateUtc="2024-01-30T10:24:00Z">
    <w16cex:extLst>
      <w16:ext w16:uri="{CE6994B0-6A32-4C9F-8C6B-6E91EDA988CE}">
        <cr:reactions xmlns:cr="http://schemas.microsoft.com/office/comments/2020/reactions">
          <cr:reaction reactionType="1">
            <cr:reactionInfo dateUtc="2024-01-30T15:51:08Z">
              <cr:user userId="62da11f5dfee8a5b" userProvider="Windows Live" userName="Nicolae MAGDIL"/>
            </cr:reactionInfo>
          </cr:reaction>
        </cr:reactions>
      </w16:ext>
    </w16cex:extLst>
  </w16cex:commentExtensible>
  <w16cex:commentExtensible w16cex:durableId="457823B9" w16cex:dateUtc="2024-01-30T10:32:00Z"/>
  <w16cex:commentExtensible w16cex:durableId="6590547A" w16cex:dateUtc="2024-01-30T10:27:00Z">
    <w16cex:extLst>
      <w16:ext w16:uri="{CE6994B0-6A32-4C9F-8C6B-6E91EDA988CE}">
        <cr:reactions xmlns:cr="http://schemas.microsoft.com/office/comments/2020/reactions">
          <cr:reaction reactionType="1">
            <cr:reactionInfo dateUtc="2024-01-30T15:51:38Z">
              <cr:user userId="62da11f5dfee8a5b" userProvider="Windows Live" userName="Nicolae MAGDIL"/>
            </cr:reactionInfo>
          </cr:reaction>
        </cr:reactions>
      </w16:ext>
    </w16cex:extLst>
  </w16cex:commentExtensible>
  <w16cex:commentExtensible w16cex:durableId="7D50F3D6" w16cex:dateUtc="2024-01-30T10:30:00Z"/>
  <w16cex:commentExtensible w16cex:durableId="1186FFA3" w16cex:dateUtc="2024-01-30T09:27:00Z">
    <w16cex:extLst>
      <w16:ext w16:uri="{CE6994B0-6A32-4C9F-8C6B-6E91EDA988CE}">
        <cr:reactions xmlns:cr="http://schemas.microsoft.com/office/comments/2020/reactions">
          <cr:reaction reactionType="1">
            <cr:reactionInfo dateUtc="2024-01-30T15:52:23Z">
              <cr:user userId="62da11f5dfee8a5b" userProvider="Windows Live" userName="Nicolae MAGDIL"/>
            </cr:reactionInfo>
          </cr:reaction>
        </cr:reactions>
      </w16:ext>
    </w16cex:extLst>
  </w16cex:commentExtensible>
  <w16cex:commentExtensible w16cex:durableId="2E1FC515" w16cex:dateUtc="2024-01-30T09:29:00Z"/>
  <w16cex:commentExtensible w16cex:durableId="0E7C6927" w16cex:dateUtc="2024-01-30T09:30:00Z"/>
  <w16cex:commentExtensible w16cex:durableId="1DFBA160" w16cex:dateUtc="2024-01-30T09:30:00Z"/>
  <w16cex:commentExtensible w16cex:durableId="12998822" w16cex:dateUtc="2024-01-30T10:48:00Z"/>
  <w16cex:commentExtensible w16cex:durableId="60820144" w16cex:dateUtc="2024-01-30T10:51:00Z"/>
  <w16cex:commentExtensible w16cex:durableId="13BC6639" w16cex:dateUtc="2024-01-30T10:54:00Z"/>
  <w16cex:commentExtensible w16cex:durableId="1694E960" w16cex:dateUtc="2024-01-30T10:56:00Z"/>
  <w16cex:commentExtensible w16cex:durableId="4813786C" w16cex:dateUtc="2024-01-30T10:58:00Z"/>
  <w16cex:commentExtensible w16cex:durableId="438A830E" w16cex:dateUtc="2024-01-30T09:31:00Z"/>
  <w16cex:commentExtensible w16cex:durableId="53AAB855" w16cex:dateUtc="2024-01-30T09:34:00Z"/>
  <w16cex:commentExtensible w16cex:durableId="0B4E0EC0" w16cex:dateUtc="2024-01-30T09:32:00Z"/>
  <w16cex:commentExtensible w16cex:durableId="5ED7314A" w16cex:dateUtc="2024-01-30T09:36:00Z"/>
  <w16cex:commentExtensible w16cex:durableId="3D3F5AFA" w16cex:dateUtc="2024-01-30T09:39:00Z"/>
  <w16cex:commentExtensible w16cex:durableId="11719E61" w16cex:dateUtc="2024-01-30T09:37:00Z"/>
  <w16cex:commentExtensible w16cex:durableId="433BD94E" w16cex:dateUtc="2024-01-30T09:43:00Z"/>
  <w16cex:commentExtensible w16cex:durableId="3E24420E" w16cex:dateUtc="2024-01-30T09:44:00Z"/>
  <w16cex:commentExtensible w16cex:durableId="600472C4" w16cex:dateUtc="2024-01-30T09:48:00Z"/>
  <w16cex:commentExtensible w16cex:durableId="316928CC" w16cex:dateUtc="2024-01-30T09:48:00Z"/>
  <w16cex:commentExtensible w16cex:durableId="471DB5B6" w16cex:dateUtc="2024-01-30T09:49:00Z"/>
  <w16cex:commentExtensible w16cex:durableId="5A4D6BE9" w16cex:dateUtc="2024-01-30T09:50:00Z"/>
  <w16cex:commentExtensible w16cex:durableId="72867953" w16cex:dateUtc="2024-01-30T09:50:00Z"/>
  <w16cex:commentExtensible w16cex:durableId="6582039B" w16cex:dateUtc="2024-01-30T09:51:00Z"/>
  <w16cex:commentExtensible w16cex:durableId="7BA6CDDE" w16cex:dateUtc="2024-01-30T09:52:00Z"/>
  <w16cex:commentExtensible w16cex:durableId="038F8620" w16cex:dateUtc="2024-01-30T09:52:00Z"/>
  <w16cex:commentExtensible w16cex:durableId="137F8633" w16cex:dateUtc="2024-01-30T09:54:00Z"/>
  <w16cex:commentExtensible w16cex:durableId="6FAD94A0" w16cex:dateUtc="2024-01-30T09:55:00Z"/>
  <w16cex:commentExtensible w16cex:durableId="1F65E805" w16cex:dateUtc="2024-01-30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065A9" w16cid:durableId="2E829AA0"/>
  <w16cid:commentId w16cid:paraId="6F4A9893" w16cid:durableId="457823B9"/>
  <w16cid:commentId w16cid:paraId="2BA9DFF9" w16cid:durableId="6590547A"/>
  <w16cid:commentId w16cid:paraId="3F641888" w16cid:durableId="7D50F3D6"/>
  <w16cid:commentId w16cid:paraId="1622E46E" w16cid:durableId="1186FFA3"/>
  <w16cid:commentId w16cid:paraId="3DEBFAB1" w16cid:durableId="2E1FC515"/>
  <w16cid:commentId w16cid:paraId="57B60B03" w16cid:durableId="0E7C6927"/>
  <w16cid:commentId w16cid:paraId="5F89E9BC" w16cid:durableId="1DFBA160"/>
  <w16cid:commentId w16cid:paraId="5DF9A100" w16cid:durableId="12998822"/>
  <w16cid:commentId w16cid:paraId="3888B256" w16cid:durableId="60820144"/>
  <w16cid:commentId w16cid:paraId="5BD6208F" w16cid:durableId="13BC6639"/>
  <w16cid:commentId w16cid:paraId="28437D30" w16cid:durableId="1694E960"/>
  <w16cid:commentId w16cid:paraId="4D79F15E" w16cid:durableId="4813786C"/>
  <w16cid:commentId w16cid:paraId="105B828F" w16cid:durableId="438A830E"/>
  <w16cid:commentId w16cid:paraId="7AAF4751" w16cid:durableId="53AAB855"/>
  <w16cid:commentId w16cid:paraId="53371EE6" w16cid:durableId="0B4E0EC0"/>
  <w16cid:commentId w16cid:paraId="38D5AC3E" w16cid:durableId="5ED7314A"/>
  <w16cid:commentId w16cid:paraId="6E0E1352" w16cid:durableId="3D3F5AFA"/>
  <w16cid:commentId w16cid:paraId="273DA416" w16cid:durableId="11719E61"/>
  <w16cid:commentId w16cid:paraId="12EDE1BA" w16cid:durableId="433BD94E"/>
  <w16cid:commentId w16cid:paraId="236A5375" w16cid:durableId="3E24420E"/>
  <w16cid:commentId w16cid:paraId="5F2D6310" w16cid:durableId="600472C4"/>
  <w16cid:commentId w16cid:paraId="265ABF60" w16cid:durableId="316928CC"/>
  <w16cid:commentId w16cid:paraId="6D0A9EDA" w16cid:durableId="471DB5B6"/>
  <w16cid:commentId w16cid:paraId="67667363" w16cid:durableId="5A4D6BE9"/>
  <w16cid:commentId w16cid:paraId="0EC8325E" w16cid:durableId="72867953"/>
  <w16cid:commentId w16cid:paraId="10929498" w16cid:durableId="6582039B"/>
  <w16cid:commentId w16cid:paraId="560F97CC" w16cid:durableId="7BA6CDDE"/>
  <w16cid:commentId w16cid:paraId="41E8BD50" w16cid:durableId="038F8620"/>
  <w16cid:commentId w16cid:paraId="41798EDA" w16cid:durableId="137F8633"/>
  <w16cid:commentId w16cid:paraId="1B347691" w16cid:durableId="6FAD94A0"/>
  <w16cid:commentId w16cid:paraId="7BBA40FC" w16cid:durableId="1F65E8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48822" w14:textId="77777777" w:rsidR="00942DEC" w:rsidRDefault="00942DEC" w:rsidP="003D6288">
      <w:pPr>
        <w:spacing w:after="0" w:line="240" w:lineRule="auto"/>
      </w:pPr>
      <w:r>
        <w:separator/>
      </w:r>
    </w:p>
  </w:endnote>
  <w:endnote w:type="continuationSeparator" w:id="0">
    <w:p w14:paraId="72E9632C" w14:textId="77777777" w:rsidR="00942DEC" w:rsidRDefault="00942DEC" w:rsidP="003D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27107" w14:textId="77777777" w:rsidR="00942DEC" w:rsidRDefault="00942DEC" w:rsidP="003D6288">
      <w:pPr>
        <w:spacing w:after="0" w:line="240" w:lineRule="auto"/>
      </w:pPr>
      <w:r>
        <w:separator/>
      </w:r>
    </w:p>
  </w:footnote>
  <w:footnote w:type="continuationSeparator" w:id="0">
    <w:p w14:paraId="65C69BFD" w14:textId="77777777" w:rsidR="00942DEC" w:rsidRDefault="00942DEC" w:rsidP="003D6288">
      <w:pPr>
        <w:spacing w:after="0" w:line="240" w:lineRule="auto"/>
      </w:pPr>
      <w:r>
        <w:continuationSeparator/>
      </w:r>
    </w:p>
  </w:footnote>
  <w:footnote w:id="1">
    <w:p w14:paraId="67D56A95" w14:textId="77777777" w:rsidR="00034A8D" w:rsidRDefault="00034A8D" w:rsidP="003D6288">
      <w:pPr>
        <w:pStyle w:val="FootnoteText"/>
        <w:contextualSpacing/>
        <w:jc w:val="both"/>
        <w:rPr>
          <w:rFonts w:ascii="Times New Roman" w:hAnsi="Times New Roman"/>
          <w:sz w:val="16"/>
          <w:szCs w:val="16"/>
        </w:rPr>
      </w:pPr>
      <w:r>
        <w:rPr>
          <w:rStyle w:val="FootnoteReference"/>
          <w:szCs w:val="16"/>
        </w:rPr>
        <w:footnoteRef/>
      </w:r>
      <w:r>
        <w:rPr>
          <w:rFonts w:ascii="Times New Roman" w:hAnsi="Times New Roman"/>
          <w:sz w:val="16"/>
          <w:szCs w:val="16"/>
        </w:rPr>
        <w:t xml:space="preserve"> NECP includes data on GHG emissions for the entire country, presented separately for the administratively controlled territory and separately for  ATULBD  </w:t>
      </w:r>
    </w:p>
  </w:footnote>
  <w:footnote w:id="2">
    <w:p w14:paraId="0166D1FD" w14:textId="77777777" w:rsidR="00034A8D" w:rsidRPr="00476CA7" w:rsidRDefault="00034A8D" w:rsidP="003D6288">
      <w:pPr>
        <w:pStyle w:val="FootnoteText"/>
        <w:rPr>
          <w:rFonts w:ascii="Times New Roman" w:hAnsi="Times New Roman" w:cs="Times New Roman"/>
        </w:rPr>
      </w:pPr>
      <w:r w:rsidRPr="00476CA7">
        <w:rPr>
          <w:rStyle w:val="FootnoteReference"/>
          <w:sz w:val="16"/>
          <w:szCs w:val="16"/>
        </w:rPr>
        <w:footnoteRef/>
      </w:r>
      <w:r w:rsidRPr="00476CA7">
        <w:rPr>
          <w:rFonts w:ascii="Times New Roman" w:hAnsi="Times New Roman" w:cs="Times New Roman"/>
          <w:sz w:val="16"/>
          <w:szCs w:val="16"/>
        </w:rPr>
        <w:t xml:space="preserve"> </w:t>
      </w:r>
      <w:hyperlink r:id="rId1" w:history="1">
        <w:r w:rsidRPr="00D51A8E">
          <w:rPr>
            <w:rStyle w:val="Hyperlink"/>
            <w:rFonts w:ascii="Times New Roman" w:hAnsi="Times New Roman" w:cs="Times New Roman"/>
            <w:sz w:val="16"/>
            <w:szCs w:val="16"/>
          </w:rPr>
          <w:t>https://www.eeas.europa.eu/eeas/global-strategy-european-unions-foreign-and-security-policy_en</w:t>
        </w:r>
      </w:hyperlink>
      <w:r>
        <w:rPr>
          <w:rFonts w:ascii="Times New Roman" w:hAnsi="Times New Roman" w:cs="Times New Roman"/>
          <w:sz w:val="16"/>
          <w:szCs w:val="16"/>
        </w:rPr>
        <w:t xml:space="preserve"> </w:t>
      </w:r>
    </w:p>
  </w:footnote>
  <w:footnote w:id="3">
    <w:p w14:paraId="6092940D" w14:textId="77777777" w:rsidR="00034A8D" w:rsidRPr="00EE696D" w:rsidRDefault="00034A8D" w:rsidP="003D6288">
      <w:pPr>
        <w:pStyle w:val="FootnoteText"/>
        <w:rPr>
          <w:rFonts w:ascii="Times New Roman" w:hAnsi="Times New Roman" w:cs="Times New Roman"/>
          <w:sz w:val="16"/>
          <w:szCs w:val="16"/>
        </w:rPr>
      </w:pPr>
      <w:r w:rsidRPr="00EE696D">
        <w:rPr>
          <w:rStyle w:val="FootnoteReference"/>
          <w:sz w:val="16"/>
          <w:szCs w:val="16"/>
        </w:rPr>
        <w:footnoteRef/>
      </w:r>
      <w:r w:rsidRPr="00EE696D">
        <w:rPr>
          <w:rFonts w:ascii="Times New Roman" w:hAnsi="Times New Roman" w:cs="Times New Roman"/>
          <w:sz w:val="16"/>
          <w:szCs w:val="16"/>
        </w:rPr>
        <w:t xml:space="preserve"> An unconditional target is a commitment to reach the target without any additional support.</w:t>
      </w:r>
    </w:p>
  </w:footnote>
  <w:footnote w:id="4">
    <w:p w14:paraId="724698F4" w14:textId="77777777" w:rsidR="00034A8D" w:rsidRPr="00EE696D" w:rsidRDefault="00034A8D" w:rsidP="003D6288">
      <w:pPr>
        <w:pStyle w:val="FootnoteText"/>
        <w:rPr>
          <w:rFonts w:ascii="Times New Roman" w:hAnsi="Times New Roman" w:cs="Times New Roman"/>
          <w:sz w:val="16"/>
          <w:szCs w:val="16"/>
        </w:rPr>
      </w:pPr>
      <w:r w:rsidRPr="00EE696D">
        <w:rPr>
          <w:rStyle w:val="FootnoteReference"/>
          <w:sz w:val="16"/>
          <w:szCs w:val="16"/>
        </w:rPr>
        <w:footnoteRef/>
      </w:r>
      <w:r w:rsidRPr="00EE696D">
        <w:rPr>
          <w:rFonts w:ascii="Times New Roman" w:hAnsi="Times New Roman" w:cs="Times New Roman"/>
          <w:sz w:val="16"/>
          <w:szCs w:val="16"/>
        </w:rPr>
        <w:t xml:space="preserve"> </w:t>
      </w:r>
      <w:hyperlink r:id="rId2" w:history="1">
        <w:r w:rsidRPr="00D72BCF">
          <w:rPr>
            <w:rStyle w:val="Hyperlink"/>
            <w:rFonts w:ascii="Times New Roman" w:hAnsi="Times New Roman" w:cs="Times New Roman"/>
            <w:sz w:val="16"/>
            <w:szCs w:val="16"/>
          </w:rPr>
          <w:t>https://unfccc.int/sites/default/files/resource/Moldova_NIR_1990-2020_EN_web.pdf</w:t>
        </w:r>
      </w:hyperlink>
      <w:r w:rsidRPr="00D72BCF">
        <w:rPr>
          <w:rFonts w:ascii="Times New Roman" w:hAnsi="Times New Roman" w:cs="Times New Roman"/>
          <w:sz w:val="16"/>
          <w:szCs w:val="16"/>
        </w:rPr>
        <w:t xml:space="preserve">. </w:t>
      </w:r>
      <w:r w:rsidRPr="00EE696D">
        <w:rPr>
          <w:rFonts w:ascii="Times New Roman" w:hAnsi="Times New Roman" w:cs="Times New Roman"/>
          <w:sz w:val="16"/>
          <w:szCs w:val="16"/>
        </w:rPr>
        <w:t xml:space="preserve"> </w:t>
      </w:r>
    </w:p>
  </w:footnote>
  <w:footnote w:id="5">
    <w:p w14:paraId="1966B2F7" w14:textId="77777777" w:rsidR="00034A8D" w:rsidRPr="00EE696D" w:rsidRDefault="00034A8D" w:rsidP="003D6288">
      <w:pPr>
        <w:pStyle w:val="FootnoteText"/>
        <w:rPr>
          <w:rFonts w:ascii="Times New Roman" w:hAnsi="Times New Roman" w:cs="Times New Roman"/>
          <w:sz w:val="16"/>
          <w:szCs w:val="16"/>
        </w:rPr>
      </w:pPr>
      <w:r w:rsidRPr="00EE696D">
        <w:rPr>
          <w:rStyle w:val="FootnoteReference"/>
          <w:sz w:val="16"/>
          <w:szCs w:val="16"/>
        </w:rPr>
        <w:footnoteRef/>
      </w:r>
      <w:r w:rsidRPr="00EE696D">
        <w:rPr>
          <w:rFonts w:ascii="Times New Roman" w:hAnsi="Times New Roman" w:cs="Times New Roman"/>
          <w:sz w:val="16"/>
          <w:szCs w:val="16"/>
        </w:rPr>
        <w:t xml:space="preserve"> A conditional target is a commitment that is conditional upon the availability of additional technology, know-how and financial sources.</w:t>
      </w:r>
    </w:p>
  </w:footnote>
  <w:footnote w:id="6">
    <w:p w14:paraId="13EC7DFB" w14:textId="77777777" w:rsidR="00034A8D" w:rsidRPr="00F81E52" w:rsidRDefault="00034A8D" w:rsidP="003D6288">
      <w:pPr>
        <w:pStyle w:val="FootnoteText"/>
        <w:rPr>
          <w:rFonts w:ascii="Times New Roman" w:hAnsi="Times New Roman" w:cs="Times New Roman"/>
        </w:rPr>
      </w:pPr>
      <w:r w:rsidRPr="00F81E52">
        <w:rPr>
          <w:rStyle w:val="FootnoteReference"/>
          <w:sz w:val="16"/>
          <w:szCs w:val="16"/>
        </w:rPr>
        <w:footnoteRef/>
      </w:r>
      <w:r w:rsidRPr="00F81E52">
        <w:rPr>
          <w:rFonts w:ascii="Times New Roman" w:hAnsi="Times New Roman" w:cs="Times New Roman"/>
          <w:sz w:val="16"/>
          <w:szCs w:val="16"/>
        </w:rPr>
        <w:t xml:space="preserve"> http://clima.md/lib.php?l=en&amp;idc=81</w:t>
      </w:r>
    </w:p>
  </w:footnote>
  <w:footnote w:id="7">
    <w:p w14:paraId="72A9CE43" w14:textId="77777777" w:rsidR="00034A8D" w:rsidRPr="00EE696D" w:rsidRDefault="00034A8D" w:rsidP="003D6288">
      <w:pPr>
        <w:pStyle w:val="FootnoteText"/>
        <w:rPr>
          <w:rFonts w:ascii="Times New Roman" w:hAnsi="Times New Roman" w:cs="Times New Roman"/>
          <w:sz w:val="16"/>
          <w:szCs w:val="16"/>
        </w:rPr>
      </w:pPr>
      <w:r w:rsidRPr="00EE696D">
        <w:rPr>
          <w:rStyle w:val="FootnoteReference"/>
          <w:sz w:val="16"/>
          <w:szCs w:val="16"/>
        </w:rPr>
        <w:footnoteRef/>
      </w:r>
      <w:r w:rsidRPr="00EE696D">
        <w:rPr>
          <w:rFonts w:ascii="Times New Roman" w:hAnsi="Times New Roman" w:cs="Times New Roman"/>
          <w:sz w:val="16"/>
          <w:szCs w:val="16"/>
        </w:rPr>
        <w:t xml:space="preserve"> </w:t>
      </w:r>
      <w:hyperlink r:id="rId3" w:history="1">
        <w:r w:rsidRPr="00EE696D">
          <w:rPr>
            <w:rStyle w:val="Hyperlink"/>
            <w:rFonts w:ascii="Times New Roman" w:hAnsi="Times New Roman" w:cs="Times New Roman"/>
            <w:sz w:val="16"/>
            <w:szCs w:val="16"/>
          </w:rPr>
          <w:t>https://www.legis.md/cautare/getResults?doc_id=98936&amp;lang=ro</w:t>
        </w:r>
      </w:hyperlink>
      <w:r w:rsidRPr="00EE696D">
        <w:rPr>
          <w:rFonts w:ascii="Times New Roman" w:hAnsi="Times New Roman" w:cs="Times New Roman"/>
          <w:sz w:val="16"/>
          <w:szCs w:val="16"/>
        </w:rPr>
        <w:t xml:space="preserve"> </w:t>
      </w:r>
    </w:p>
  </w:footnote>
  <w:footnote w:id="8">
    <w:p w14:paraId="775AD680" w14:textId="77777777" w:rsidR="00034A8D" w:rsidRPr="00EE696D" w:rsidRDefault="00034A8D" w:rsidP="003D6288">
      <w:pPr>
        <w:pStyle w:val="FootnoteText"/>
        <w:rPr>
          <w:rFonts w:ascii="Times New Roman" w:hAnsi="Times New Roman" w:cs="Times New Roman"/>
          <w:sz w:val="16"/>
          <w:szCs w:val="16"/>
        </w:rPr>
      </w:pPr>
      <w:r w:rsidRPr="00EE696D">
        <w:rPr>
          <w:rStyle w:val="FootnoteReference"/>
          <w:sz w:val="16"/>
          <w:szCs w:val="16"/>
        </w:rPr>
        <w:footnoteRef/>
      </w:r>
      <w:r w:rsidRPr="00EE696D">
        <w:rPr>
          <w:rFonts w:ascii="Times New Roman" w:hAnsi="Times New Roman" w:cs="Times New Roman"/>
          <w:sz w:val="16"/>
          <w:szCs w:val="16"/>
        </w:rPr>
        <w:t xml:space="preserve"> </w:t>
      </w:r>
      <w:hyperlink r:id="rId4" w:history="1">
        <w:r w:rsidRPr="00EE696D">
          <w:rPr>
            <w:rStyle w:val="Hyperlink"/>
            <w:rFonts w:ascii="Times New Roman" w:hAnsi="Times New Roman" w:cs="Times New Roman"/>
            <w:sz w:val="16"/>
            <w:szCs w:val="16"/>
          </w:rPr>
          <w:t>https://www.legis.md/cautare/getResults?doc_id=128987&amp;lang=ro</w:t>
        </w:r>
      </w:hyperlink>
      <w:r w:rsidRPr="00EE696D">
        <w:rPr>
          <w:rFonts w:ascii="Times New Roman" w:hAnsi="Times New Roman" w:cs="Times New Roman"/>
          <w:sz w:val="16"/>
          <w:szCs w:val="16"/>
        </w:rPr>
        <w:t xml:space="preserve"> </w:t>
      </w:r>
    </w:p>
  </w:footnote>
  <w:footnote w:id="9">
    <w:p w14:paraId="72E3D792" w14:textId="77777777" w:rsidR="00034A8D" w:rsidRPr="00AF6707" w:rsidRDefault="00034A8D" w:rsidP="003D6288">
      <w:pPr>
        <w:pStyle w:val="FootnoteText"/>
        <w:jc w:val="both"/>
        <w:rPr>
          <w:rFonts w:ascii="Times New Roman" w:hAnsi="Times New Roman" w:cs="Times New Roman"/>
        </w:rPr>
      </w:pPr>
      <w:r w:rsidRPr="00AF6707">
        <w:rPr>
          <w:rStyle w:val="FootnoteReference"/>
          <w:sz w:val="16"/>
          <w:szCs w:val="16"/>
        </w:rPr>
        <w:footnoteRef/>
      </w:r>
      <w:r w:rsidRPr="00AF6707">
        <w:rPr>
          <w:rFonts w:ascii="Times New Roman" w:hAnsi="Times New Roman" w:cs="Times New Roman"/>
          <w:sz w:val="16"/>
          <w:szCs w:val="16"/>
        </w:rPr>
        <w:t xml:space="preserve"> Draft Energy Strategy 2050</w:t>
      </w:r>
      <w:r>
        <w:rPr>
          <w:rFonts w:ascii="Times New Roman" w:hAnsi="Times New Roman" w:cs="Times New Roman"/>
          <w:sz w:val="16"/>
          <w:szCs w:val="16"/>
        </w:rPr>
        <w:t xml:space="preserve">. </w:t>
      </w:r>
      <w:r w:rsidRPr="007A2BD8">
        <w:rPr>
          <w:rFonts w:ascii="Times New Roman" w:hAnsi="Times New Roman" w:cs="Times New Roman"/>
          <w:sz w:val="16"/>
          <w:szCs w:val="16"/>
        </w:rPr>
        <w:t>Availa</w:t>
      </w:r>
      <w:r w:rsidRPr="00AF6707">
        <w:rPr>
          <w:rFonts w:ascii="Times New Roman" w:hAnsi="Times New Roman" w:cs="Times New Roman"/>
          <w:sz w:val="16"/>
          <w:szCs w:val="16"/>
        </w:rPr>
        <w:t xml:space="preserve">ble at </w:t>
      </w:r>
      <w:hyperlink r:id="rId5" w:history="1">
        <w:r w:rsidRPr="00AF6707">
          <w:rPr>
            <w:rStyle w:val="Hyperlink"/>
            <w:rFonts w:ascii="Times New Roman" w:hAnsi="Times New Roman" w:cs="Times New Roman"/>
            <w:sz w:val="16"/>
            <w:szCs w:val="16"/>
          </w:rPr>
          <w:t>https://particip.gov.md/ro/document/stages/ministerul-infrastructurii-si-dezvoltarii-regionale-anunta-despre-initierea-elaborarii-documentului-de-politici-publice-strategia-energetica-a-republicii-moldova-pana-in-anul-2050/9942</w:t>
        </w:r>
      </w:hyperlink>
      <w:r w:rsidRPr="00AF6707">
        <w:rPr>
          <w:rFonts w:ascii="Times New Roman" w:hAnsi="Times New Roman" w:cs="Times New Roman"/>
        </w:rPr>
        <w:t xml:space="preserve"> </w:t>
      </w:r>
    </w:p>
  </w:footnote>
  <w:footnote w:id="10">
    <w:p w14:paraId="29D1EB9C" w14:textId="77777777" w:rsidR="00034A8D" w:rsidRPr="00B55DD2" w:rsidRDefault="00034A8D" w:rsidP="00D45979">
      <w:pPr>
        <w:pStyle w:val="FootnoteText"/>
        <w:rPr>
          <w:rStyle w:val="Hyperlink"/>
          <w:rFonts w:ascii="Times New Roman" w:hAnsi="Times New Roman" w:cs="Times New Roman"/>
          <w:sz w:val="16"/>
          <w:szCs w:val="16"/>
        </w:rPr>
      </w:pPr>
      <w:r w:rsidRPr="00B55DD2">
        <w:rPr>
          <w:rStyle w:val="FootnoteReference"/>
          <w:sz w:val="16"/>
          <w:szCs w:val="16"/>
        </w:rPr>
        <w:footnoteRef/>
      </w:r>
      <w:r w:rsidRPr="00B55DD2">
        <w:rPr>
          <w:rFonts w:ascii="Times New Roman" w:hAnsi="Times New Roman" w:cs="Times New Roman"/>
          <w:sz w:val="16"/>
          <w:szCs w:val="16"/>
        </w:rPr>
        <w:t xml:space="preserve"> </w:t>
      </w:r>
      <w:r w:rsidRPr="00B55DD2">
        <w:rPr>
          <w:rStyle w:val="Hyperlink"/>
          <w:rFonts w:ascii="Times New Roman" w:hAnsi="Times New Roman" w:cs="Times New Roman"/>
          <w:sz w:val="16"/>
          <w:szCs w:val="16"/>
        </w:rPr>
        <w:t>https://www.entsoe.eu/news/2022/03/16/continental-europe-successful-synchronisation-with-ukraine-and-moldova-power-systems/</w:t>
      </w:r>
    </w:p>
  </w:footnote>
  <w:footnote w:id="11">
    <w:p w14:paraId="754884FA" w14:textId="77777777" w:rsidR="00034A8D" w:rsidRPr="00AF6707" w:rsidRDefault="00034A8D" w:rsidP="00D45979">
      <w:pPr>
        <w:pStyle w:val="FootnoteText"/>
        <w:jc w:val="both"/>
        <w:rPr>
          <w:rFonts w:ascii="Times New Roman" w:hAnsi="Times New Roman" w:cs="Times New Roman"/>
        </w:rPr>
      </w:pPr>
      <w:r w:rsidRPr="00AF6707">
        <w:rPr>
          <w:rStyle w:val="FootnoteReference"/>
          <w:sz w:val="16"/>
          <w:szCs w:val="16"/>
        </w:rPr>
        <w:footnoteRef/>
      </w:r>
      <w:r w:rsidRPr="00AF6707">
        <w:rPr>
          <w:rFonts w:ascii="Times New Roman" w:hAnsi="Times New Roman" w:cs="Times New Roman"/>
          <w:sz w:val="16"/>
          <w:szCs w:val="16"/>
        </w:rPr>
        <w:t xml:space="preserve"> Energy strategy 2030</w:t>
      </w:r>
      <w:r>
        <w:rPr>
          <w:rFonts w:ascii="Times New Roman" w:hAnsi="Times New Roman" w:cs="Times New Roman"/>
          <w:sz w:val="16"/>
          <w:szCs w:val="16"/>
        </w:rPr>
        <w:t xml:space="preserve">. </w:t>
      </w:r>
      <w:r w:rsidRPr="00694C5F">
        <w:rPr>
          <w:rFonts w:ascii="Times New Roman" w:hAnsi="Times New Roman" w:cs="Times New Roman"/>
          <w:sz w:val="16"/>
          <w:szCs w:val="16"/>
        </w:rPr>
        <w:t>Avai</w:t>
      </w:r>
      <w:r w:rsidRPr="00AF6707">
        <w:rPr>
          <w:rFonts w:ascii="Times New Roman" w:hAnsi="Times New Roman" w:cs="Times New Roman"/>
          <w:sz w:val="16"/>
          <w:szCs w:val="16"/>
        </w:rPr>
        <w:t xml:space="preserve">lable at  </w:t>
      </w:r>
      <w:hyperlink r:id="rId6" w:history="1">
        <w:r w:rsidRPr="00AF6707">
          <w:rPr>
            <w:rStyle w:val="Hyperlink"/>
            <w:rFonts w:ascii="Times New Roman" w:hAnsi="Times New Roman" w:cs="Times New Roman"/>
            <w:sz w:val="16"/>
            <w:szCs w:val="16"/>
          </w:rPr>
          <w:t>https://www.legis.md/cautare/getResults?doc_id=68103&amp;lang=ro</w:t>
        </w:r>
      </w:hyperlink>
      <w:r w:rsidRPr="00AF6707">
        <w:rPr>
          <w:rFonts w:ascii="Times New Roman" w:hAnsi="Times New Roman" w:cs="Times New Roman"/>
        </w:rPr>
        <w:t xml:space="preserve"> </w:t>
      </w:r>
    </w:p>
  </w:footnote>
  <w:footnote w:id="12">
    <w:p w14:paraId="7A226BB2" w14:textId="77777777" w:rsidR="00034A8D" w:rsidRPr="00323ACD" w:rsidRDefault="00034A8D" w:rsidP="006161FF">
      <w:pPr>
        <w:pStyle w:val="FootnoteText"/>
        <w:rPr>
          <w:rFonts w:ascii="Times New Roman" w:hAnsi="Times New Roman" w:cs="Times New Roman"/>
          <w:sz w:val="16"/>
          <w:szCs w:val="16"/>
        </w:rPr>
      </w:pPr>
      <w:r w:rsidRPr="00323ACD">
        <w:rPr>
          <w:rStyle w:val="FootnoteReference"/>
          <w:sz w:val="16"/>
          <w:szCs w:val="16"/>
        </w:rPr>
        <w:footnoteRef/>
      </w:r>
      <w:r w:rsidRPr="00323ACD">
        <w:rPr>
          <w:rFonts w:ascii="Times New Roman" w:hAnsi="Times New Roman" w:cs="Times New Roman"/>
          <w:sz w:val="16"/>
          <w:szCs w:val="16"/>
        </w:rPr>
        <w:t xml:space="preserve"> </w:t>
      </w:r>
      <w:hyperlink r:id="rId7" w:anchor="page=1" w:history="1">
        <w:r w:rsidRPr="00323ACD">
          <w:rPr>
            <w:rStyle w:val="Hyperlink"/>
            <w:rFonts w:ascii="Times New Roman" w:hAnsi="Times New Roman" w:cs="Times New Roman"/>
            <w:sz w:val="16"/>
            <w:szCs w:val="16"/>
          </w:rPr>
          <w:t>https://monitorul.gov.md/ro/monitorul/view/pdf/2579/part/1#page=1</w:t>
        </w:r>
      </w:hyperlink>
      <w:r w:rsidRPr="00323ACD">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496"/>
    <w:multiLevelType w:val="hybridMultilevel"/>
    <w:tmpl w:val="C86C5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C4B02"/>
    <w:multiLevelType w:val="hybridMultilevel"/>
    <w:tmpl w:val="861C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34EBE"/>
    <w:multiLevelType w:val="hybridMultilevel"/>
    <w:tmpl w:val="086A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F1921"/>
    <w:multiLevelType w:val="hybridMultilevel"/>
    <w:tmpl w:val="53EA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D6CFD"/>
    <w:multiLevelType w:val="hybridMultilevel"/>
    <w:tmpl w:val="CB90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B17FC"/>
    <w:multiLevelType w:val="hybridMultilevel"/>
    <w:tmpl w:val="C2C214AC"/>
    <w:lvl w:ilvl="0" w:tplc="1594133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6366A89"/>
    <w:multiLevelType w:val="hybridMultilevel"/>
    <w:tmpl w:val="83024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5A47AF"/>
    <w:multiLevelType w:val="hybridMultilevel"/>
    <w:tmpl w:val="7994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768FB"/>
    <w:multiLevelType w:val="hybridMultilevel"/>
    <w:tmpl w:val="097659F0"/>
    <w:lvl w:ilvl="0" w:tplc="AF9ED4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3A0B1D"/>
    <w:multiLevelType w:val="hybridMultilevel"/>
    <w:tmpl w:val="E4AA0062"/>
    <w:lvl w:ilvl="0" w:tplc="1594133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EE85EB2"/>
    <w:multiLevelType w:val="hybridMultilevel"/>
    <w:tmpl w:val="CCCC2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174D97"/>
    <w:multiLevelType w:val="hybridMultilevel"/>
    <w:tmpl w:val="5F48CE66"/>
    <w:lvl w:ilvl="0" w:tplc="BB6229FE">
      <w:start w:val="1"/>
      <w:numFmt w:val="bullet"/>
      <w:pStyle w:val="IEABodyBulletTextlevel1"/>
      <w:lvlText w:val=""/>
      <w:lvlJc w:val="left"/>
      <w:pPr>
        <w:ind w:left="1211" w:hanging="360"/>
      </w:pPr>
      <w:rPr>
        <w:rFonts w:ascii="Wingdings" w:hAnsi="Wingdings" w:hint="default"/>
        <w:color w:val="auto"/>
        <w:position w:val="-4"/>
        <w:sz w:val="22"/>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2" w15:restartNumberingAfterBreak="0">
    <w:nsid w:val="6DEC3A6C"/>
    <w:multiLevelType w:val="hybridMultilevel"/>
    <w:tmpl w:val="EA6E23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6"/>
  </w:num>
  <w:num w:numId="6">
    <w:abstractNumId w:val="9"/>
  </w:num>
  <w:num w:numId="7">
    <w:abstractNumId w:val="5"/>
  </w:num>
  <w:num w:numId="8">
    <w:abstractNumId w:val="11"/>
  </w:num>
  <w:num w:numId="9">
    <w:abstractNumId w:val="8"/>
  </w:num>
  <w:num w:numId="10">
    <w:abstractNumId w:val="3"/>
  </w:num>
  <w:num w:numId="11">
    <w:abstractNumId w:val="12"/>
  </w:num>
  <w:num w:numId="12">
    <w:abstractNumId w:val="0"/>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C5"/>
    <w:rsid w:val="0000294D"/>
    <w:rsid w:val="00034A8D"/>
    <w:rsid w:val="00037449"/>
    <w:rsid w:val="0003776E"/>
    <w:rsid w:val="00042AE0"/>
    <w:rsid w:val="0005022B"/>
    <w:rsid w:val="00067D60"/>
    <w:rsid w:val="00093E93"/>
    <w:rsid w:val="000A6988"/>
    <w:rsid w:val="000E5D6F"/>
    <w:rsid w:val="00100481"/>
    <w:rsid w:val="00115D3D"/>
    <w:rsid w:val="00131060"/>
    <w:rsid w:val="00145182"/>
    <w:rsid w:val="00160B53"/>
    <w:rsid w:val="001734DC"/>
    <w:rsid w:val="001D3BC5"/>
    <w:rsid w:val="001F0E2A"/>
    <w:rsid w:val="002119AC"/>
    <w:rsid w:val="002177B5"/>
    <w:rsid w:val="00255809"/>
    <w:rsid w:val="002730DA"/>
    <w:rsid w:val="00275836"/>
    <w:rsid w:val="00296C1C"/>
    <w:rsid w:val="002971B7"/>
    <w:rsid w:val="002B3698"/>
    <w:rsid w:val="002B79AC"/>
    <w:rsid w:val="002C369A"/>
    <w:rsid w:val="002D62D8"/>
    <w:rsid w:val="002E117D"/>
    <w:rsid w:val="003133F9"/>
    <w:rsid w:val="00340386"/>
    <w:rsid w:val="00344F8F"/>
    <w:rsid w:val="00360057"/>
    <w:rsid w:val="0038491D"/>
    <w:rsid w:val="003D6288"/>
    <w:rsid w:val="00463B32"/>
    <w:rsid w:val="00484983"/>
    <w:rsid w:val="004867DD"/>
    <w:rsid w:val="005124A9"/>
    <w:rsid w:val="005132E3"/>
    <w:rsid w:val="00522834"/>
    <w:rsid w:val="005622E6"/>
    <w:rsid w:val="0056591E"/>
    <w:rsid w:val="00572518"/>
    <w:rsid w:val="00575B98"/>
    <w:rsid w:val="00590752"/>
    <w:rsid w:val="0059733B"/>
    <w:rsid w:val="005A5C4F"/>
    <w:rsid w:val="005C5841"/>
    <w:rsid w:val="005D6CEA"/>
    <w:rsid w:val="005E70A0"/>
    <w:rsid w:val="006031D9"/>
    <w:rsid w:val="006161FF"/>
    <w:rsid w:val="006662FA"/>
    <w:rsid w:val="00667EB7"/>
    <w:rsid w:val="00673C58"/>
    <w:rsid w:val="00681386"/>
    <w:rsid w:val="00683A1D"/>
    <w:rsid w:val="006A0B05"/>
    <w:rsid w:val="006C3B68"/>
    <w:rsid w:val="006C6353"/>
    <w:rsid w:val="0070556A"/>
    <w:rsid w:val="007306A8"/>
    <w:rsid w:val="00774E29"/>
    <w:rsid w:val="007A68F3"/>
    <w:rsid w:val="007C4CD7"/>
    <w:rsid w:val="007F63DB"/>
    <w:rsid w:val="008A6BBC"/>
    <w:rsid w:val="008C257F"/>
    <w:rsid w:val="008D4FD4"/>
    <w:rsid w:val="00915E99"/>
    <w:rsid w:val="0091791C"/>
    <w:rsid w:val="00942DEC"/>
    <w:rsid w:val="0095721E"/>
    <w:rsid w:val="00965BE4"/>
    <w:rsid w:val="00976046"/>
    <w:rsid w:val="009B2BF3"/>
    <w:rsid w:val="009F1AEB"/>
    <w:rsid w:val="00A23E83"/>
    <w:rsid w:val="00A342E5"/>
    <w:rsid w:val="00A51595"/>
    <w:rsid w:val="00A760D9"/>
    <w:rsid w:val="00A85996"/>
    <w:rsid w:val="00A90F30"/>
    <w:rsid w:val="00AB0FEE"/>
    <w:rsid w:val="00AB1C4A"/>
    <w:rsid w:val="00AE4A4F"/>
    <w:rsid w:val="00AF391B"/>
    <w:rsid w:val="00B126B2"/>
    <w:rsid w:val="00B23662"/>
    <w:rsid w:val="00B35AAB"/>
    <w:rsid w:val="00B52EAB"/>
    <w:rsid w:val="00B6327C"/>
    <w:rsid w:val="00B76562"/>
    <w:rsid w:val="00B953A8"/>
    <w:rsid w:val="00BA295D"/>
    <w:rsid w:val="00C02D36"/>
    <w:rsid w:val="00C13506"/>
    <w:rsid w:val="00C15761"/>
    <w:rsid w:val="00C24A54"/>
    <w:rsid w:val="00C30B22"/>
    <w:rsid w:val="00C5380F"/>
    <w:rsid w:val="00C70B5B"/>
    <w:rsid w:val="00C82097"/>
    <w:rsid w:val="00CA2CC3"/>
    <w:rsid w:val="00CC22F9"/>
    <w:rsid w:val="00D21D31"/>
    <w:rsid w:val="00D30EE0"/>
    <w:rsid w:val="00D41A4E"/>
    <w:rsid w:val="00D4217A"/>
    <w:rsid w:val="00D45979"/>
    <w:rsid w:val="00DC268A"/>
    <w:rsid w:val="00DE44D8"/>
    <w:rsid w:val="00DE4D85"/>
    <w:rsid w:val="00E02794"/>
    <w:rsid w:val="00E239C2"/>
    <w:rsid w:val="00E329A2"/>
    <w:rsid w:val="00E36517"/>
    <w:rsid w:val="00E51298"/>
    <w:rsid w:val="00E75589"/>
    <w:rsid w:val="00E966AE"/>
    <w:rsid w:val="00ED0D7B"/>
    <w:rsid w:val="00ED29CF"/>
    <w:rsid w:val="00F33327"/>
    <w:rsid w:val="00F4665E"/>
    <w:rsid w:val="00F623B0"/>
    <w:rsid w:val="00F66CC1"/>
    <w:rsid w:val="00F76116"/>
    <w:rsid w:val="00F91E6F"/>
    <w:rsid w:val="00FA025A"/>
    <w:rsid w:val="00FF25A8"/>
    <w:rsid w:val="00FF573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262D"/>
  <w15:chartTrackingRefBased/>
  <w15:docId w15:val="{20CDDF8C-A908-498F-B61B-EF0EE8FD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6288"/>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3D6288"/>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3D6288"/>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rsid w:val="003D6288"/>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rsid w:val="003D6288"/>
    <w:pPr>
      <w:keepNext/>
      <w:keepLines/>
      <w:spacing w:before="40" w:after="0" w:line="240" w:lineRule="auto"/>
      <w:outlineLvl w:val="4"/>
    </w:pPr>
    <w:rPr>
      <w:rFonts w:asciiTheme="majorHAnsi" w:eastAsiaTheme="majorEastAsia" w:hAnsiTheme="majorHAnsi" w:cstheme="majorBidi"/>
      <w:color w:val="2E74B5" w:themeColor="accent1" w:themeShade="BF"/>
      <w:sz w:val="28"/>
      <w:lang w:val="ru-RU"/>
    </w:rPr>
  </w:style>
  <w:style w:type="paragraph" w:styleId="Heading6">
    <w:name w:val="heading 6"/>
    <w:basedOn w:val="Normal"/>
    <w:next w:val="Normal"/>
    <w:link w:val="Heading6Char"/>
    <w:uiPriority w:val="9"/>
    <w:unhideWhenUsed/>
    <w:qFormat/>
    <w:rsid w:val="003D6288"/>
    <w:pPr>
      <w:keepNext/>
      <w:keepLines/>
      <w:spacing w:before="200" w:after="0"/>
      <w:outlineLvl w:val="5"/>
    </w:pPr>
    <w:rPr>
      <w:rFonts w:asciiTheme="majorHAnsi" w:eastAsiaTheme="majorEastAsia" w:hAnsiTheme="majorHAnsi" w:cstheme="majorBidi"/>
      <w:i/>
      <w:iCs/>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3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6288"/>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3D6288"/>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3D6288"/>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3D6288"/>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rsid w:val="003D6288"/>
    <w:rPr>
      <w:rFonts w:asciiTheme="majorHAnsi" w:eastAsiaTheme="majorEastAsia" w:hAnsiTheme="majorHAnsi" w:cstheme="majorBidi"/>
      <w:color w:val="2E74B5" w:themeColor="accent1" w:themeShade="BF"/>
      <w:sz w:val="28"/>
      <w:lang w:val="ru-RU"/>
    </w:rPr>
  </w:style>
  <w:style w:type="character" w:customStyle="1" w:styleId="Heading6Char">
    <w:name w:val="Heading 6 Char"/>
    <w:basedOn w:val="DefaultParagraphFont"/>
    <w:link w:val="Heading6"/>
    <w:uiPriority w:val="9"/>
    <w:rsid w:val="003D6288"/>
    <w:rPr>
      <w:rFonts w:asciiTheme="majorHAnsi" w:eastAsiaTheme="majorEastAsia" w:hAnsiTheme="majorHAnsi" w:cstheme="majorBidi"/>
      <w:i/>
      <w:iCs/>
      <w:color w:val="1F4D78" w:themeColor="accent1" w:themeShade="7F"/>
      <w:lang w:val="en-US"/>
    </w:rPr>
  </w:style>
  <w:style w:type="paragraph" w:styleId="Header">
    <w:name w:val="header"/>
    <w:basedOn w:val="Normal"/>
    <w:link w:val="HeaderChar"/>
    <w:uiPriority w:val="99"/>
    <w:unhideWhenUsed/>
    <w:rsid w:val="003D628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3D6288"/>
    <w:rPr>
      <w:lang w:val="en-US"/>
    </w:rPr>
  </w:style>
  <w:style w:type="paragraph" w:styleId="Footer">
    <w:name w:val="footer"/>
    <w:basedOn w:val="Normal"/>
    <w:link w:val="FooterChar"/>
    <w:uiPriority w:val="99"/>
    <w:unhideWhenUsed/>
    <w:rsid w:val="003D628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3D6288"/>
    <w:rPr>
      <w:lang w:val="en-US"/>
    </w:rPr>
  </w:style>
  <w:style w:type="character" w:styleId="Hyperlink">
    <w:name w:val="Hyperlink"/>
    <w:basedOn w:val="DefaultParagraphFont"/>
    <w:uiPriority w:val="99"/>
    <w:unhideWhenUsed/>
    <w:rsid w:val="003D6288"/>
    <w:rPr>
      <w:color w:val="0563C1" w:themeColor="hyperlink"/>
      <w:u w:val="single"/>
    </w:rPr>
  </w:style>
  <w:style w:type="character" w:customStyle="1" w:styleId="UnresolvedMention1">
    <w:name w:val="Unresolved Mention1"/>
    <w:basedOn w:val="DefaultParagraphFont"/>
    <w:uiPriority w:val="99"/>
    <w:semiHidden/>
    <w:unhideWhenUsed/>
    <w:rsid w:val="003D6288"/>
    <w:rPr>
      <w:color w:val="605E5C"/>
      <w:shd w:val="clear" w:color="auto" w:fill="E1DFDD"/>
    </w:rPr>
  </w:style>
  <w:style w:type="paragraph" w:styleId="ListParagraph">
    <w:name w:val="List Paragraph"/>
    <w:aliases w:val="Task Body,Viñetas (Inicio Parrafo),Paragrafo elenco,3 Txt tabla,Zerrenda-paragrafoa,Fiche List Paragraph,Dot pt,F5 List Paragraph,List Paragraph1,No Spacing1,List Paragraph Char Char Char,Indicator Text,Numbered Para 1,Bullet Points"/>
    <w:basedOn w:val="Normal"/>
    <w:link w:val="ListParagraphChar"/>
    <w:uiPriority w:val="1"/>
    <w:qFormat/>
    <w:rsid w:val="003D6288"/>
    <w:pPr>
      <w:ind w:left="720"/>
      <w:contextualSpacing/>
    </w:pPr>
    <w:rPr>
      <w:lang w:val="en-US"/>
    </w:rPr>
  </w:style>
  <w:style w:type="character" w:customStyle="1" w:styleId="ListParagraphChar">
    <w:name w:val="List Paragraph Char"/>
    <w:aliases w:val="Task Body Char,Viñetas (Inicio Parrafo) Char,Paragrafo elenco Char,3 Txt tabla Char,Zerrenda-paragrafoa Char,Fiche List Paragraph Char,Dot pt Char,F5 List Paragraph Char,List Paragraph1 Char,No Spacing1 Char,Indicator Text Char"/>
    <w:link w:val="ListParagraph"/>
    <w:uiPriority w:val="34"/>
    <w:qFormat/>
    <w:locked/>
    <w:rsid w:val="003D6288"/>
    <w:rPr>
      <w:lang w:val="en-US"/>
    </w:rPr>
  </w:style>
  <w:style w:type="character" w:styleId="FollowedHyperlink">
    <w:name w:val="FollowedHyperlink"/>
    <w:basedOn w:val="DefaultParagraphFont"/>
    <w:uiPriority w:val="99"/>
    <w:semiHidden/>
    <w:unhideWhenUsed/>
    <w:rsid w:val="003D6288"/>
    <w:rPr>
      <w:color w:val="954F72" w:themeColor="followedHyperlink"/>
      <w:u w:val="single"/>
    </w:rPr>
  </w:style>
  <w:style w:type="paragraph" w:styleId="Title">
    <w:name w:val="Title"/>
    <w:basedOn w:val="Normal"/>
    <w:next w:val="Normal"/>
    <w:link w:val="TitleChar"/>
    <w:uiPriority w:val="10"/>
    <w:qFormat/>
    <w:rsid w:val="003D6288"/>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D6288"/>
    <w:rPr>
      <w:rFonts w:asciiTheme="majorHAnsi" w:eastAsiaTheme="majorEastAsia" w:hAnsiTheme="majorHAnsi" w:cstheme="majorBidi"/>
      <w:spacing w:val="-10"/>
      <w:kern w:val="28"/>
      <w:sz w:val="56"/>
      <w:szCs w:val="56"/>
      <w:lang w:val="en-US"/>
    </w:rPr>
  </w:style>
  <w:style w:type="paragraph" w:styleId="FootnoteText">
    <w:name w:val="footnote text"/>
    <w:aliases w:val="Geneva 9,Font: Geneva 9,Boston 10,f,ft,DNV-FT,fn,Char,Fußnote,foot note text,Footnote Text Char2,Footnote Text Char1 Char,Footnote Text Char Char Char,Footnote Text Char2 Char Char Char,single space,footnote text,Footnote text,FN,F,A"/>
    <w:basedOn w:val="Normal"/>
    <w:link w:val="FootnoteTextChar"/>
    <w:unhideWhenUsed/>
    <w:qFormat/>
    <w:rsid w:val="003D6288"/>
    <w:pPr>
      <w:spacing w:after="0" w:line="240" w:lineRule="auto"/>
    </w:pPr>
    <w:rPr>
      <w:sz w:val="20"/>
      <w:szCs w:val="20"/>
      <w:lang w:val="en-US"/>
    </w:rPr>
  </w:style>
  <w:style w:type="character" w:customStyle="1" w:styleId="FootnoteTextChar">
    <w:name w:val="Footnote Text Char"/>
    <w:aliases w:val="Geneva 9 Char,Font: Geneva 9 Char,Boston 10 Char,f Char,ft Char,DNV-FT Char,fn Char,Char Char,Fußnote Char,foot note text Char,Footnote Text Char2 Char,Footnote Text Char1 Char Char,Footnote Text Char Char Char Char,single space Char"/>
    <w:basedOn w:val="DefaultParagraphFont"/>
    <w:link w:val="FootnoteText"/>
    <w:qFormat/>
    <w:rsid w:val="003D6288"/>
    <w:rPr>
      <w:sz w:val="20"/>
      <w:szCs w:val="20"/>
      <w:lang w:val="en-US"/>
    </w:rPr>
  </w:style>
  <w:style w:type="character" w:styleId="FootnoteReference">
    <w:name w:val="footnote reference"/>
    <w:aliases w:val="Footnote Reference Char,BVI fnr,(Footnote Reference),Footnote Reference/,BVI fnr Car Car,BVI fnr Car,BVI fnr Car Car Car Car,BVI fnr Car Car Car Car Char Char,BVI fnr Car Car Car Car Char Char Char Char Char,BVI fnr Carácter"/>
    <w:link w:val="CharCharChar"/>
    <w:uiPriority w:val="99"/>
    <w:qFormat/>
    <w:rsid w:val="003D6288"/>
    <w:rPr>
      <w:rFonts w:ascii="Times New Roman" w:hAnsi="Times New Roman" w:cs="Times New Roman"/>
      <w:sz w:val="20"/>
      <w:vertAlign w:val="superscript"/>
    </w:rPr>
  </w:style>
  <w:style w:type="paragraph" w:customStyle="1" w:styleId="CharCharChar">
    <w:name w:val="Char Char Char"/>
    <w:basedOn w:val="Normal"/>
    <w:link w:val="FootnoteReference"/>
    <w:autoRedefine/>
    <w:uiPriority w:val="99"/>
    <w:qFormat/>
    <w:rsid w:val="003D6288"/>
    <w:pPr>
      <w:spacing w:line="240" w:lineRule="exact"/>
    </w:pPr>
    <w:rPr>
      <w:rFonts w:ascii="Times New Roman" w:hAnsi="Times New Roman" w:cs="Times New Roman"/>
      <w:sz w:val="20"/>
      <w:vertAlign w:val="superscript"/>
    </w:rPr>
  </w:style>
  <w:style w:type="paragraph" w:styleId="NormalWeb">
    <w:name w:val="Normal (Web)"/>
    <w:basedOn w:val="Normal"/>
    <w:uiPriority w:val="99"/>
    <w:unhideWhenUsed/>
    <w:rsid w:val="003D6288"/>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3D6288"/>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3D6288"/>
    <w:rPr>
      <w:rFonts w:ascii="Segoe UI" w:hAnsi="Segoe UI" w:cs="Segoe UI"/>
      <w:sz w:val="18"/>
      <w:szCs w:val="18"/>
      <w:lang w:val="en-US"/>
    </w:rPr>
  </w:style>
  <w:style w:type="paragraph" w:customStyle="1" w:styleId="FigureName">
    <w:name w:val="FigureName"/>
    <w:basedOn w:val="Normal"/>
    <w:next w:val="Normal"/>
    <w:autoRedefine/>
    <w:qFormat/>
    <w:rsid w:val="003D6288"/>
    <w:pPr>
      <w:spacing w:before="120" w:after="120" w:line="240" w:lineRule="auto"/>
    </w:pPr>
    <w:rPr>
      <w:b/>
      <w:bCs/>
      <w:i/>
      <w:iCs/>
      <w:lang w:val="en-GB"/>
    </w:rPr>
  </w:style>
  <w:style w:type="paragraph" w:customStyle="1" w:styleId="Figure">
    <w:name w:val="Figure"/>
    <w:basedOn w:val="Normal"/>
    <w:next w:val="Normal"/>
    <w:autoRedefine/>
    <w:qFormat/>
    <w:rsid w:val="003D6288"/>
    <w:pPr>
      <w:spacing w:after="240" w:line="276" w:lineRule="auto"/>
      <w:jc w:val="center"/>
    </w:pPr>
    <w:rPr>
      <w:noProof/>
      <w:sz w:val="24"/>
      <w:lang w:val="en-GB"/>
    </w:rPr>
  </w:style>
  <w:style w:type="paragraph" w:customStyle="1" w:styleId="TableName">
    <w:name w:val="TableName"/>
    <w:basedOn w:val="Normal"/>
    <w:qFormat/>
    <w:rsid w:val="003D6288"/>
    <w:pPr>
      <w:spacing w:before="120" w:after="0" w:line="276" w:lineRule="auto"/>
      <w:jc w:val="center"/>
    </w:pPr>
    <w:rPr>
      <w:b/>
      <w:bCs/>
      <w:lang w:val="en-GB"/>
    </w:rPr>
  </w:style>
  <w:style w:type="paragraph" w:styleId="TOCHeading">
    <w:name w:val="TOC Heading"/>
    <w:basedOn w:val="Heading1"/>
    <w:next w:val="Normal"/>
    <w:uiPriority w:val="39"/>
    <w:unhideWhenUsed/>
    <w:qFormat/>
    <w:rsid w:val="003D6288"/>
    <w:pPr>
      <w:outlineLvl w:val="9"/>
    </w:pPr>
  </w:style>
  <w:style w:type="paragraph" w:styleId="TOC1">
    <w:name w:val="toc 1"/>
    <w:basedOn w:val="Normal"/>
    <w:next w:val="Normal"/>
    <w:autoRedefine/>
    <w:uiPriority w:val="39"/>
    <w:unhideWhenUsed/>
    <w:qFormat/>
    <w:rsid w:val="003D6288"/>
    <w:pPr>
      <w:tabs>
        <w:tab w:val="left" w:pos="480"/>
        <w:tab w:val="right" w:leader="dot" w:pos="9350"/>
      </w:tabs>
      <w:spacing w:after="100" w:line="276" w:lineRule="auto"/>
      <w:jc w:val="both"/>
    </w:pPr>
    <w:rPr>
      <w:sz w:val="24"/>
      <w:lang w:val="en-GB"/>
    </w:rPr>
  </w:style>
  <w:style w:type="paragraph" w:styleId="TOC2">
    <w:name w:val="toc 2"/>
    <w:basedOn w:val="Normal"/>
    <w:next w:val="Normal"/>
    <w:autoRedefine/>
    <w:uiPriority w:val="39"/>
    <w:unhideWhenUsed/>
    <w:qFormat/>
    <w:rsid w:val="003D6288"/>
    <w:pPr>
      <w:tabs>
        <w:tab w:val="right" w:leader="dot" w:pos="9350"/>
      </w:tabs>
      <w:spacing w:after="100" w:line="276" w:lineRule="auto"/>
      <w:ind w:left="240"/>
      <w:jc w:val="both"/>
    </w:pPr>
    <w:rPr>
      <w:sz w:val="24"/>
      <w:lang w:val="en-GB"/>
    </w:rPr>
  </w:style>
  <w:style w:type="paragraph" w:styleId="TOC3">
    <w:name w:val="toc 3"/>
    <w:basedOn w:val="Normal"/>
    <w:next w:val="Normal"/>
    <w:autoRedefine/>
    <w:uiPriority w:val="39"/>
    <w:unhideWhenUsed/>
    <w:qFormat/>
    <w:rsid w:val="003D6288"/>
    <w:pPr>
      <w:tabs>
        <w:tab w:val="right" w:leader="dot" w:pos="9350"/>
      </w:tabs>
      <w:spacing w:after="100" w:line="276" w:lineRule="auto"/>
      <w:ind w:left="480"/>
      <w:jc w:val="both"/>
    </w:pPr>
    <w:rPr>
      <w:sz w:val="24"/>
      <w:lang w:val="en-GB"/>
    </w:rPr>
  </w:style>
  <w:style w:type="paragraph" w:styleId="TableofFigures">
    <w:name w:val="table of figures"/>
    <w:basedOn w:val="Normal"/>
    <w:next w:val="Normal"/>
    <w:uiPriority w:val="99"/>
    <w:unhideWhenUsed/>
    <w:rsid w:val="003D6288"/>
    <w:pPr>
      <w:spacing w:before="120" w:after="0" w:line="276" w:lineRule="auto"/>
      <w:jc w:val="both"/>
    </w:pPr>
    <w:rPr>
      <w:sz w:val="24"/>
      <w:lang w:val="en-GB"/>
    </w:rPr>
  </w:style>
  <w:style w:type="character" w:styleId="CommentReference">
    <w:name w:val="annotation reference"/>
    <w:basedOn w:val="DefaultParagraphFont"/>
    <w:uiPriority w:val="99"/>
    <w:semiHidden/>
    <w:unhideWhenUsed/>
    <w:rsid w:val="003D6288"/>
    <w:rPr>
      <w:sz w:val="16"/>
      <w:szCs w:val="16"/>
    </w:rPr>
  </w:style>
  <w:style w:type="paragraph" w:styleId="CommentText">
    <w:name w:val="annotation text"/>
    <w:basedOn w:val="Normal"/>
    <w:link w:val="CommentTextChar"/>
    <w:uiPriority w:val="99"/>
    <w:unhideWhenUsed/>
    <w:rsid w:val="003D6288"/>
    <w:pPr>
      <w:spacing w:before="120" w:after="120" w:line="240" w:lineRule="auto"/>
      <w:jc w:val="both"/>
    </w:pPr>
    <w:rPr>
      <w:sz w:val="20"/>
      <w:szCs w:val="20"/>
      <w:lang w:val="en-GB"/>
    </w:rPr>
  </w:style>
  <w:style w:type="character" w:customStyle="1" w:styleId="CommentTextChar">
    <w:name w:val="Comment Text Char"/>
    <w:basedOn w:val="DefaultParagraphFont"/>
    <w:link w:val="CommentText"/>
    <w:uiPriority w:val="99"/>
    <w:rsid w:val="003D6288"/>
    <w:rPr>
      <w:sz w:val="20"/>
      <w:szCs w:val="20"/>
      <w:lang w:val="en-GB"/>
    </w:rPr>
  </w:style>
  <w:style w:type="paragraph" w:styleId="CommentSubject">
    <w:name w:val="annotation subject"/>
    <w:basedOn w:val="CommentText"/>
    <w:next w:val="CommentText"/>
    <w:link w:val="CommentSubjectChar"/>
    <w:uiPriority w:val="99"/>
    <w:semiHidden/>
    <w:unhideWhenUsed/>
    <w:rsid w:val="003D6288"/>
    <w:rPr>
      <w:b/>
      <w:bCs/>
    </w:rPr>
  </w:style>
  <w:style w:type="character" w:customStyle="1" w:styleId="CommentSubjectChar">
    <w:name w:val="Comment Subject Char"/>
    <w:basedOn w:val="CommentTextChar"/>
    <w:link w:val="CommentSubject"/>
    <w:uiPriority w:val="99"/>
    <w:semiHidden/>
    <w:rsid w:val="003D6288"/>
    <w:rPr>
      <w:b/>
      <w:bCs/>
      <w:sz w:val="20"/>
      <w:szCs w:val="20"/>
      <w:lang w:val="en-GB"/>
    </w:rPr>
  </w:style>
  <w:style w:type="paragraph" w:styleId="Revision">
    <w:name w:val="Revision"/>
    <w:hidden/>
    <w:uiPriority w:val="99"/>
    <w:semiHidden/>
    <w:rsid w:val="003D6288"/>
    <w:pPr>
      <w:spacing w:after="0" w:line="240" w:lineRule="auto"/>
    </w:pPr>
    <w:rPr>
      <w:sz w:val="24"/>
      <w:lang w:val="en-GB"/>
    </w:rPr>
  </w:style>
  <w:style w:type="table" w:customStyle="1" w:styleId="GridTable5Dark-Accent51">
    <w:name w:val="Grid Table 5 Dark - Accent 51"/>
    <w:basedOn w:val="TableNormal"/>
    <w:uiPriority w:val="50"/>
    <w:rsid w:val="003D6288"/>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fontstyle01">
    <w:name w:val="fontstyle01"/>
    <w:basedOn w:val="DefaultParagraphFont"/>
    <w:rsid w:val="003D6288"/>
    <w:rPr>
      <w:rFonts w:ascii="Calibri" w:hAnsi="Calibri" w:cs="Calibri" w:hint="default"/>
      <w:b w:val="0"/>
      <w:bCs w:val="0"/>
      <w:i w:val="0"/>
      <w:iCs w:val="0"/>
      <w:color w:val="000000"/>
      <w:sz w:val="22"/>
      <w:szCs w:val="22"/>
    </w:rPr>
  </w:style>
  <w:style w:type="paragraph" w:styleId="BodyText">
    <w:name w:val="Body Text"/>
    <w:basedOn w:val="Normal"/>
    <w:link w:val="BodyTextChar"/>
    <w:uiPriority w:val="1"/>
    <w:qFormat/>
    <w:rsid w:val="003D6288"/>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3D6288"/>
    <w:rPr>
      <w:rFonts w:ascii="Arial" w:eastAsia="Arial" w:hAnsi="Arial" w:cs="Arial"/>
      <w:sz w:val="24"/>
      <w:szCs w:val="24"/>
      <w:lang w:val="en-US"/>
    </w:rPr>
  </w:style>
  <w:style w:type="character" w:styleId="Strong">
    <w:name w:val="Strong"/>
    <w:basedOn w:val="DefaultParagraphFont"/>
    <w:uiPriority w:val="22"/>
    <w:qFormat/>
    <w:rsid w:val="003D6288"/>
    <w:rPr>
      <w:b/>
      <w:bCs/>
    </w:rPr>
  </w:style>
  <w:style w:type="paragraph" w:styleId="NoSpacing">
    <w:name w:val="No Spacing"/>
    <w:uiPriority w:val="1"/>
    <w:qFormat/>
    <w:rsid w:val="003D6288"/>
    <w:pPr>
      <w:spacing w:after="0" w:line="240" w:lineRule="auto"/>
    </w:pPr>
    <w:rPr>
      <w:rFonts w:ascii="Times New Roman" w:hAnsi="Times New Roman"/>
      <w:sz w:val="28"/>
      <w:lang w:val="ru-RU"/>
    </w:rPr>
  </w:style>
  <w:style w:type="paragraph" w:customStyle="1" w:styleId="Default">
    <w:name w:val="Default"/>
    <w:rsid w:val="003D6288"/>
    <w:pPr>
      <w:autoSpaceDE w:val="0"/>
      <w:autoSpaceDN w:val="0"/>
      <w:adjustRightInd w:val="0"/>
      <w:spacing w:after="0" w:line="240" w:lineRule="auto"/>
    </w:pPr>
    <w:rPr>
      <w:rFonts w:ascii="Times New Roman" w:hAnsi="Times New Roman" w:cs="Times New Roman"/>
      <w:color w:val="000000"/>
      <w:sz w:val="24"/>
      <w:szCs w:val="24"/>
      <w:lang w:val="ru-RU"/>
    </w:rPr>
  </w:style>
  <w:style w:type="table" w:customStyle="1" w:styleId="TableNormal1">
    <w:name w:val="Table Normal1"/>
    <w:uiPriority w:val="2"/>
    <w:semiHidden/>
    <w:unhideWhenUsed/>
    <w:qFormat/>
    <w:rsid w:val="003D62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
    <w:name w:val="Неразрешенное упоминание1"/>
    <w:basedOn w:val="DefaultParagraphFont"/>
    <w:uiPriority w:val="99"/>
    <w:semiHidden/>
    <w:unhideWhenUsed/>
    <w:rsid w:val="003D6288"/>
    <w:rPr>
      <w:color w:val="605E5C"/>
      <w:shd w:val="clear" w:color="auto" w:fill="E1DFDD"/>
    </w:rPr>
  </w:style>
  <w:style w:type="character" w:styleId="Emphasis">
    <w:name w:val="Emphasis"/>
    <w:basedOn w:val="DefaultParagraphFont"/>
    <w:uiPriority w:val="20"/>
    <w:qFormat/>
    <w:rsid w:val="003D6288"/>
    <w:rPr>
      <w:i/>
      <w:iCs/>
    </w:rPr>
  </w:style>
  <w:style w:type="character" w:customStyle="1" w:styleId="2">
    <w:name w:val="Неразрешенное упоминание2"/>
    <w:basedOn w:val="DefaultParagraphFont"/>
    <w:uiPriority w:val="99"/>
    <w:semiHidden/>
    <w:unhideWhenUsed/>
    <w:rsid w:val="003D6288"/>
    <w:rPr>
      <w:color w:val="605E5C"/>
      <w:shd w:val="clear" w:color="auto" w:fill="E1DFDD"/>
    </w:rPr>
  </w:style>
  <w:style w:type="paragraph" w:customStyle="1" w:styleId="TableParagraph">
    <w:name w:val="Table Paragraph"/>
    <w:basedOn w:val="Normal"/>
    <w:uiPriority w:val="1"/>
    <w:qFormat/>
    <w:rsid w:val="003D6288"/>
    <w:pPr>
      <w:widowControl w:val="0"/>
      <w:autoSpaceDE w:val="0"/>
      <w:autoSpaceDN w:val="0"/>
      <w:spacing w:before="1" w:after="0" w:line="240" w:lineRule="auto"/>
      <w:jc w:val="center"/>
    </w:pPr>
    <w:rPr>
      <w:rFonts w:ascii="Calibri" w:eastAsia="Calibri" w:hAnsi="Calibri" w:cs="Calibri"/>
      <w:lang w:val="ru-RU"/>
    </w:rPr>
  </w:style>
  <w:style w:type="character" w:customStyle="1" w:styleId="3">
    <w:name w:val="Неразрешенное упоминание3"/>
    <w:basedOn w:val="DefaultParagraphFont"/>
    <w:uiPriority w:val="99"/>
    <w:semiHidden/>
    <w:unhideWhenUsed/>
    <w:rsid w:val="003D6288"/>
    <w:rPr>
      <w:color w:val="605E5C"/>
      <w:shd w:val="clear" w:color="auto" w:fill="E1DFDD"/>
    </w:rPr>
  </w:style>
  <w:style w:type="character" w:customStyle="1" w:styleId="4">
    <w:name w:val="Неразрешенное упоминание4"/>
    <w:basedOn w:val="DefaultParagraphFont"/>
    <w:uiPriority w:val="99"/>
    <w:semiHidden/>
    <w:unhideWhenUsed/>
    <w:rsid w:val="003D6288"/>
    <w:rPr>
      <w:color w:val="605E5C"/>
      <w:shd w:val="clear" w:color="auto" w:fill="E1DFDD"/>
    </w:rPr>
  </w:style>
  <w:style w:type="paragraph" w:customStyle="1" w:styleId="cb">
    <w:name w:val="cb"/>
    <w:basedOn w:val="Normal"/>
    <w:rsid w:val="003D6288"/>
    <w:pPr>
      <w:spacing w:before="100" w:beforeAutospacing="1" w:after="100" w:afterAutospacing="1" w:line="240" w:lineRule="auto"/>
      <w:jc w:val="center"/>
    </w:pPr>
    <w:rPr>
      <w:rFonts w:ascii="Times New Roman" w:eastAsiaTheme="minorEastAsia" w:hAnsi="Times New Roman" w:cs="Times New Roman"/>
      <w:b/>
      <w:bCs/>
      <w:sz w:val="24"/>
      <w:szCs w:val="24"/>
      <w:lang w:val="ru-RU" w:eastAsia="ru-RU"/>
    </w:rPr>
  </w:style>
  <w:style w:type="paragraph" w:customStyle="1" w:styleId="pb">
    <w:name w:val="pb"/>
    <w:basedOn w:val="Normal"/>
    <w:rsid w:val="003D6288"/>
    <w:pPr>
      <w:spacing w:before="100" w:beforeAutospacing="1" w:after="100" w:afterAutospacing="1" w:line="240" w:lineRule="auto"/>
      <w:jc w:val="center"/>
    </w:pPr>
    <w:rPr>
      <w:rFonts w:ascii="Times New Roman" w:eastAsiaTheme="minorEastAsia" w:hAnsi="Times New Roman" w:cs="Times New Roman"/>
      <w:i/>
      <w:iCs/>
      <w:color w:val="663300"/>
      <w:sz w:val="20"/>
      <w:szCs w:val="20"/>
      <w:lang w:val="ru-RU" w:eastAsia="ru-RU"/>
    </w:rPr>
  </w:style>
  <w:style w:type="character" w:customStyle="1" w:styleId="5">
    <w:name w:val="Неразрешенное упоминание5"/>
    <w:basedOn w:val="DefaultParagraphFont"/>
    <w:uiPriority w:val="99"/>
    <w:semiHidden/>
    <w:unhideWhenUsed/>
    <w:rsid w:val="003D6288"/>
    <w:rPr>
      <w:color w:val="605E5C"/>
      <w:shd w:val="clear" w:color="auto" w:fill="E1DFDD"/>
    </w:rPr>
  </w:style>
  <w:style w:type="character" w:customStyle="1" w:styleId="6">
    <w:name w:val="Неразрешенное упоминание6"/>
    <w:basedOn w:val="DefaultParagraphFont"/>
    <w:uiPriority w:val="99"/>
    <w:semiHidden/>
    <w:unhideWhenUsed/>
    <w:rsid w:val="003D6288"/>
    <w:rPr>
      <w:color w:val="605E5C"/>
      <w:shd w:val="clear" w:color="auto" w:fill="E1DFDD"/>
    </w:rPr>
  </w:style>
  <w:style w:type="character" w:customStyle="1" w:styleId="7">
    <w:name w:val="Неразрешенное упоминание7"/>
    <w:basedOn w:val="DefaultParagraphFont"/>
    <w:uiPriority w:val="99"/>
    <w:semiHidden/>
    <w:unhideWhenUsed/>
    <w:rsid w:val="003D6288"/>
    <w:rPr>
      <w:color w:val="605E5C"/>
      <w:shd w:val="clear" w:color="auto" w:fill="E1DFDD"/>
    </w:rPr>
  </w:style>
  <w:style w:type="character" w:customStyle="1" w:styleId="itemtitlepart0">
    <w:name w:val="item_title_part0"/>
    <w:basedOn w:val="DefaultParagraphFont"/>
    <w:rsid w:val="003D6288"/>
  </w:style>
  <w:style w:type="character" w:customStyle="1" w:styleId="itemtitlepart1">
    <w:name w:val="item_title_part1"/>
    <w:basedOn w:val="DefaultParagraphFont"/>
    <w:rsid w:val="003D6288"/>
  </w:style>
  <w:style w:type="character" w:customStyle="1" w:styleId="itemtitlepart2">
    <w:name w:val="item_title_part2"/>
    <w:basedOn w:val="DefaultParagraphFont"/>
    <w:rsid w:val="003D6288"/>
  </w:style>
  <w:style w:type="character" w:customStyle="1" w:styleId="itemtitlepart3">
    <w:name w:val="item_title_part3"/>
    <w:basedOn w:val="DefaultParagraphFont"/>
    <w:rsid w:val="003D6288"/>
  </w:style>
  <w:style w:type="character" w:customStyle="1" w:styleId="itemtitlepart4">
    <w:name w:val="item_title_part4"/>
    <w:basedOn w:val="DefaultParagraphFont"/>
    <w:rsid w:val="003D6288"/>
  </w:style>
  <w:style w:type="character" w:customStyle="1" w:styleId="itemtitlepart5">
    <w:name w:val="item_title_part5"/>
    <w:basedOn w:val="DefaultParagraphFont"/>
    <w:rsid w:val="003D6288"/>
  </w:style>
  <w:style w:type="character" w:customStyle="1" w:styleId="itemtitlepart6">
    <w:name w:val="item_title_part6"/>
    <w:basedOn w:val="DefaultParagraphFont"/>
    <w:rsid w:val="003D6288"/>
  </w:style>
  <w:style w:type="character" w:customStyle="1" w:styleId="itemtitlepart7">
    <w:name w:val="item_title_part7"/>
    <w:basedOn w:val="DefaultParagraphFont"/>
    <w:rsid w:val="003D6288"/>
  </w:style>
  <w:style w:type="character" w:customStyle="1" w:styleId="itemtitlepart8">
    <w:name w:val="item_title_part8"/>
    <w:basedOn w:val="DefaultParagraphFont"/>
    <w:rsid w:val="003D6288"/>
  </w:style>
  <w:style w:type="character" w:customStyle="1" w:styleId="itemtitlepart9">
    <w:name w:val="item_title_part9"/>
    <w:basedOn w:val="DefaultParagraphFont"/>
    <w:rsid w:val="003D6288"/>
  </w:style>
  <w:style w:type="character" w:customStyle="1" w:styleId="itemtitlepart10">
    <w:name w:val="item_title_part10"/>
    <w:basedOn w:val="DefaultParagraphFont"/>
    <w:rsid w:val="003D6288"/>
  </w:style>
  <w:style w:type="character" w:customStyle="1" w:styleId="itemtitlepart11">
    <w:name w:val="item_title_part11"/>
    <w:basedOn w:val="DefaultParagraphFont"/>
    <w:rsid w:val="003D6288"/>
  </w:style>
  <w:style w:type="character" w:customStyle="1" w:styleId="rynqvb">
    <w:name w:val="rynqvb"/>
    <w:basedOn w:val="DefaultParagraphFont"/>
    <w:rsid w:val="003D6288"/>
  </w:style>
  <w:style w:type="paragraph" w:styleId="HTMLPreformatted">
    <w:name w:val="HTML Preformatted"/>
    <w:basedOn w:val="Normal"/>
    <w:link w:val="HTMLPreformattedChar"/>
    <w:uiPriority w:val="99"/>
    <w:unhideWhenUsed/>
    <w:rsid w:val="003D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D6288"/>
    <w:rPr>
      <w:rFonts w:ascii="Courier New" w:eastAsia="Times New Roman" w:hAnsi="Courier New" w:cs="Courier New"/>
      <w:sz w:val="20"/>
      <w:szCs w:val="20"/>
      <w:lang w:val="ru-RU" w:eastAsia="ru-RU"/>
    </w:rPr>
  </w:style>
  <w:style w:type="character" w:customStyle="1" w:styleId="y2iqfc">
    <w:name w:val="y2iqfc"/>
    <w:basedOn w:val="DefaultParagraphFont"/>
    <w:rsid w:val="003D6288"/>
  </w:style>
  <w:style w:type="paragraph" w:customStyle="1" w:styleId="10">
    <w:name w:val="Обычный1"/>
    <w:basedOn w:val="Normal"/>
    <w:rsid w:val="003D62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Caption">
    <w:name w:val="caption"/>
    <w:basedOn w:val="Normal"/>
    <w:next w:val="Normal"/>
    <w:link w:val="CaptionChar"/>
    <w:uiPriority w:val="35"/>
    <w:unhideWhenUsed/>
    <w:qFormat/>
    <w:rsid w:val="003D6288"/>
    <w:pPr>
      <w:spacing w:after="200" w:line="240" w:lineRule="auto"/>
    </w:pPr>
    <w:rPr>
      <w:i/>
      <w:iCs/>
      <w:color w:val="44546A" w:themeColor="text2"/>
      <w:sz w:val="18"/>
      <w:szCs w:val="18"/>
      <w:lang w:val="ru-RU"/>
    </w:rPr>
  </w:style>
  <w:style w:type="paragraph" w:customStyle="1" w:styleId="msonormal0">
    <w:name w:val="msonormal"/>
    <w:basedOn w:val="Normal"/>
    <w:rsid w:val="003D62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87">
    <w:name w:val="xl87"/>
    <w:basedOn w:val="Normal"/>
    <w:rsid w:val="003D6288"/>
    <w:pP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FFFF"/>
      <w:sz w:val="32"/>
      <w:szCs w:val="32"/>
      <w:lang w:val="ru-RU" w:eastAsia="ru-RU"/>
    </w:rPr>
  </w:style>
  <w:style w:type="paragraph" w:customStyle="1" w:styleId="xl88">
    <w:name w:val="xl88"/>
    <w:basedOn w:val="Normal"/>
    <w:rsid w:val="003D6288"/>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89">
    <w:name w:val="xl89"/>
    <w:basedOn w:val="Normal"/>
    <w:rsid w:val="003D6288"/>
    <w:pPr>
      <w:pBdr>
        <w:left w:val="single" w:sz="8" w:space="0" w:color="FFFFFF"/>
        <w:bottom w:val="single" w:sz="8" w:space="0" w:color="FFFFFF"/>
        <w:right w:val="single" w:sz="8" w:space="0" w:color="FFFFFF"/>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val="ru-RU" w:eastAsia="ru-RU"/>
    </w:rPr>
  </w:style>
  <w:style w:type="paragraph" w:customStyle="1" w:styleId="xl90">
    <w:name w:val="xl90"/>
    <w:basedOn w:val="Normal"/>
    <w:rsid w:val="003D6288"/>
    <w:pP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91">
    <w:name w:val="xl91"/>
    <w:basedOn w:val="Normal"/>
    <w:rsid w:val="003D6288"/>
    <w:pP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FFFF"/>
      <w:sz w:val="28"/>
      <w:szCs w:val="28"/>
      <w:lang w:val="ru-RU" w:eastAsia="ru-RU"/>
    </w:rPr>
  </w:style>
  <w:style w:type="paragraph" w:customStyle="1" w:styleId="xl92">
    <w:name w:val="xl92"/>
    <w:basedOn w:val="Normal"/>
    <w:rsid w:val="003D6288"/>
    <w:pPr>
      <w:pBdr>
        <w:left w:val="single" w:sz="8" w:space="0" w:color="FFFFFF"/>
        <w:bottom w:val="single" w:sz="8"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ru-RU" w:eastAsia="ru-RU"/>
    </w:rPr>
  </w:style>
  <w:style w:type="paragraph" w:customStyle="1" w:styleId="xl93">
    <w:name w:val="xl93"/>
    <w:basedOn w:val="Normal"/>
    <w:rsid w:val="003D6288"/>
    <w:pPr>
      <w:pBdr>
        <w:left w:val="single" w:sz="8" w:space="0" w:color="FFFFFF"/>
        <w:bottom w:val="single" w:sz="8"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4F81BD"/>
      <w:sz w:val="24"/>
      <w:szCs w:val="24"/>
      <w:lang w:val="ru-RU" w:eastAsia="ru-RU"/>
    </w:rPr>
  </w:style>
  <w:style w:type="paragraph" w:customStyle="1" w:styleId="xl94">
    <w:name w:val="xl94"/>
    <w:basedOn w:val="Normal"/>
    <w:rsid w:val="003D6288"/>
    <w:pPr>
      <w:pBdr>
        <w:left w:val="single" w:sz="8" w:space="0" w:color="FFFFFF"/>
        <w:bottom w:val="single" w:sz="8" w:space="0" w:color="FFFFFF"/>
        <w:right w:val="single" w:sz="8" w:space="0" w:color="FFFFFF"/>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val="ru-RU" w:eastAsia="ru-RU"/>
    </w:rPr>
  </w:style>
  <w:style w:type="paragraph" w:customStyle="1" w:styleId="xl95">
    <w:name w:val="xl95"/>
    <w:basedOn w:val="Normal"/>
    <w:rsid w:val="003D6288"/>
    <w:pP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val="ru-RU" w:eastAsia="ru-RU"/>
    </w:rPr>
  </w:style>
  <w:style w:type="paragraph" w:customStyle="1" w:styleId="xl96">
    <w:name w:val="xl96"/>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97">
    <w:name w:val="xl97"/>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ru-RU" w:eastAsia="ru-RU"/>
    </w:rPr>
  </w:style>
  <w:style w:type="paragraph" w:customStyle="1" w:styleId="xl98">
    <w:name w:val="xl98"/>
    <w:basedOn w:val="Normal"/>
    <w:rsid w:val="003D6288"/>
    <w:pPr>
      <w:pBdr>
        <w:top w:val="single" w:sz="12" w:space="0" w:color="FFFFFF"/>
        <w:left w:val="single" w:sz="8" w:space="0" w:color="FFFFFF"/>
        <w:bottom w:val="single" w:sz="8" w:space="0" w:color="FFFFFF"/>
        <w:right w:val="single" w:sz="8" w:space="0" w:color="FFFFFF"/>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val="ru-RU" w:eastAsia="ru-RU"/>
    </w:rPr>
  </w:style>
  <w:style w:type="paragraph" w:customStyle="1" w:styleId="xl99">
    <w:name w:val="xl99"/>
    <w:basedOn w:val="Normal"/>
    <w:rsid w:val="003D6288"/>
    <w:pP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val="ru-RU" w:eastAsia="ru-RU"/>
    </w:rPr>
  </w:style>
  <w:style w:type="paragraph" w:customStyle="1" w:styleId="xl100">
    <w:name w:val="xl100"/>
    <w:basedOn w:val="Normal"/>
    <w:rsid w:val="003D6288"/>
    <w:pPr>
      <w:pBdr>
        <w:left w:val="single" w:sz="8" w:space="0" w:color="FFFFFF"/>
        <w:right w:val="single" w:sz="8" w:space="0" w:color="FFFFFF"/>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val="ru-RU" w:eastAsia="ru-RU"/>
    </w:rPr>
  </w:style>
  <w:style w:type="paragraph" w:customStyle="1" w:styleId="xl101">
    <w:name w:val="xl101"/>
    <w:basedOn w:val="Normal"/>
    <w:rsid w:val="003D6288"/>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02">
    <w:name w:val="xl102"/>
    <w:basedOn w:val="Normal"/>
    <w:rsid w:val="003D628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03">
    <w:name w:val="xl103"/>
    <w:basedOn w:val="Normal"/>
    <w:rsid w:val="003D6288"/>
    <w:pPr>
      <w:pBdr>
        <w:left w:val="single" w:sz="8" w:space="0" w:color="FFFFFF"/>
        <w:right w:val="single" w:sz="8" w:space="0" w:color="FFFFFF"/>
      </w:pBdr>
      <w:shd w:val="clear" w:color="000000" w:fill="D0D8E8"/>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104">
    <w:name w:val="xl104"/>
    <w:basedOn w:val="Normal"/>
    <w:rsid w:val="003D6288"/>
    <w:pPr>
      <w:pBdr>
        <w:left w:val="single" w:sz="8" w:space="0" w:color="FFFFFF"/>
        <w:right w:val="single" w:sz="8" w:space="0" w:color="FFFFFF"/>
      </w:pBdr>
      <w:shd w:val="clear" w:color="000000" w:fill="D0D8E8"/>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ru-RU" w:eastAsia="ru-RU"/>
    </w:rPr>
  </w:style>
  <w:style w:type="paragraph" w:customStyle="1" w:styleId="xl105">
    <w:name w:val="xl105"/>
    <w:basedOn w:val="Normal"/>
    <w:rsid w:val="003D628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06">
    <w:name w:val="xl106"/>
    <w:basedOn w:val="Normal"/>
    <w:rsid w:val="003D6288"/>
    <w:pP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07">
    <w:name w:val="xl107"/>
    <w:basedOn w:val="Normal"/>
    <w:rsid w:val="003D6288"/>
    <w:pP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08">
    <w:name w:val="xl108"/>
    <w:basedOn w:val="Normal"/>
    <w:rsid w:val="003D6288"/>
    <w:pPr>
      <w:pBdr>
        <w:bottom w:val="single" w:sz="4" w:space="0" w:color="auto"/>
      </w:pBdr>
      <w:shd w:val="clear" w:color="000000" w:fill="4F81BD"/>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ru-RU" w:eastAsia="ru-RU"/>
    </w:rPr>
  </w:style>
  <w:style w:type="paragraph" w:customStyle="1" w:styleId="xl109">
    <w:name w:val="xl109"/>
    <w:basedOn w:val="Normal"/>
    <w:rsid w:val="003D6288"/>
    <w:pPr>
      <w:spacing w:before="100" w:beforeAutospacing="1" w:after="100" w:afterAutospacing="1" w:line="240" w:lineRule="auto"/>
      <w:textAlignment w:val="center"/>
    </w:pPr>
    <w:rPr>
      <w:rFonts w:ascii="Arial" w:eastAsia="Times New Roman" w:hAnsi="Arial" w:cs="Arial"/>
      <w:b/>
      <w:bCs/>
      <w:color w:val="000000"/>
      <w:sz w:val="16"/>
      <w:szCs w:val="16"/>
      <w:lang w:val="ru-RU" w:eastAsia="ru-RU"/>
    </w:rPr>
  </w:style>
  <w:style w:type="paragraph" w:customStyle="1" w:styleId="xl110">
    <w:name w:val="xl110"/>
    <w:basedOn w:val="Normal"/>
    <w:rsid w:val="003D6288"/>
    <w:pPr>
      <w:pBdr>
        <w:left w:val="single" w:sz="8" w:space="0" w:color="FFFFFF"/>
        <w:bottom w:val="single" w:sz="8" w:space="0" w:color="FFFFFF"/>
        <w:right w:val="single" w:sz="8" w:space="0" w:color="FFFFFF"/>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FFFF"/>
      <w:sz w:val="32"/>
      <w:szCs w:val="32"/>
      <w:lang w:val="ru-RU" w:eastAsia="ru-RU"/>
    </w:rPr>
  </w:style>
  <w:style w:type="paragraph" w:customStyle="1" w:styleId="xl111">
    <w:name w:val="xl111"/>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112">
    <w:name w:val="xl112"/>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ru-RU" w:eastAsia="ru-RU"/>
    </w:rPr>
  </w:style>
  <w:style w:type="paragraph" w:customStyle="1" w:styleId="xl113">
    <w:name w:val="xl113"/>
    <w:basedOn w:val="Normal"/>
    <w:rsid w:val="003D6288"/>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14">
    <w:name w:val="xl114"/>
    <w:basedOn w:val="Normal"/>
    <w:rsid w:val="003D6288"/>
    <w:pPr>
      <w:pBdr>
        <w:left w:val="single" w:sz="8" w:space="0" w:color="FFFFFF"/>
        <w:bottom w:val="single" w:sz="8" w:space="0" w:color="FFFFFF"/>
        <w:right w:val="single" w:sz="8" w:space="0" w:color="FFFFFF"/>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val="ru-RU" w:eastAsia="ru-RU"/>
    </w:rPr>
  </w:style>
  <w:style w:type="paragraph" w:customStyle="1" w:styleId="xl115">
    <w:name w:val="xl115"/>
    <w:basedOn w:val="Normal"/>
    <w:rsid w:val="003D6288"/>
    <w:pPr>
      <w:pBdr>
        <w:top w:val="single" w:sz="8" w:space="0" w:color="FFFFFF"/>
        <w:left w:val="single" w:sz="8" w:space="0" w:color="FFFFFF"/>
        <w:bottom w:val="single" w:sz="8" w:space="0" w:color="FFFFFF"/>
        <w:right w:val="single" w:sz="8" w:space="0" w:color="FFFFFF"/>
      </w:pBdr>
      <w:shd w:val="clear" w:color="000000" w:fill="E9EDF4"/>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16">
    <w:name w:val="xl116"/>
    <w:basedOn w:val="Normal"/>
    <w:rsid w:val="003D6288"/>
    <w:pPr>
      <w:pBdr>
        <w:top w:val="single" w:sz="8" w:space="0" w:color="FFFFFF"/>
        <w:left w:val="single" w:sz="8" w:space="0" w:color="FFFFFF"/>
        <w:bottom w:val="single" w:sz="8" w:space="0" w:color="FFFFFF"/>
        <w:right w:val="single" w:sz="8" w:space="0" w:color="FFFFFF"/>
      </w:pBdr>
      <w:shd w:val="clear" w:color="000000" w:fill="D0D8E8"/>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17">
    <w:name w:val="xl117"/>
    <w:basedOn w:val="Normal"/>
    <w:rsid w:val="003D6288"/>
    <w:pPr>
      <w:pBdr>
        <w:top w:val="single" w:sz="12" w:space="0" w:color="FFFFFF"/>
        <w:left w:val="single" w:sz="8" w:space="0" w:color="FFFFFF"/>
        <w:bottom w:val="single" w:sz="8" w:space="0" w:color="FFFFFF"/>
        <w:right w:val="single" w:sz="8" w:space="0" w:color="FFFFFF"/>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val="ru-RU" w:eastAsia="ru-RU"/>
    </w:rPr>
  </w:style>
  <w:style w:type="paragraph" w:customStyle="1" w:styleId="xl118">
    <w:name w:val="xl118"/>
    <w:basedOn w:val="Normal"/>
    <w:rsid w:val="003D6288"/>
    <w:pPr>
      <w:pBdr>
        <w:top w:val="single" w:sz="8" w:space="0" w:color="FFFFFF"/>
        <w:left w:val="single" w:sz="8" w:space="0" w:color="FFFFFF"/>
        <w:right w:val="single" w:sz="8" w:space="0" w:color="FFFFFF"/>
      </w:pBdr>
      <w:shd w:val="clear" w:color="000000" w:fill="E9EDF4"/>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19">
    <w:name w:val="xl119"/>
    <w:basedOn w:val="Normal"/>
    <w:rsid w:val="003D6288"/>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20">
    <w:name w:val="xl120"/>
    <w:basedOn w:val="Normal"/>
    <w:rsid w:val="003D6288"/>
    <w:pPr>
      <w:pBdr>
        <w:left w:val="single" w:sz="8" w:space="0" w:color="FFFFFF"/>
        <w:bottom w:val="single" w:sz="8" w:space="0" w:color="FFFFFF"/>
        <w:right w:val="single" w:sz="8" w:space="0" w:color="FFFFFF"/>
      </w:pBdr>
      <w:shd w:val="clear" w:color="000000" w:fill="E9EDF4"/>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21">
    <w:name w:val="xl121"/>
    <w:basedOn w:val="Normal"/>
    <w:rsid w:val="003D6288"/>
    <w:pPr>
      <w:pBdr>
        <w:bottom w:val="single" w:sz="4" w:space="0" w:color="auto"/>
      </w:pBdr>
      <w:shd w:val="clear" w:color="000000" w:fill="4F81BD"/>
      <w:spacing w:before="100" w:beforeAutospacing="1" w:after="100" w:afterAutospacing="1" w:line="240" w:lineRule="auto"/>
      <w:jc w:val="right"/>
      <w:textAlignment w:val="center"/>
    </w:pPr>
    <w:rPr>
      <w:rFonts w:ascii="Times New Roman" w:eastAsia="Times New Roman" w:hAnsi="Times New Roman" w:cs="Times New Roman"/>
      <w:b/>
      <w:bCs/>
      <w:color w:val="FFFFFF"/>
      <w:sz w:val="24"/>
      <w:szCs w:val="24"/>
      <w:lang w:val="ru-RU" w:eastAsia="ru-RU"/>
    </w:rPr>
  </w:style>
  <w:style w:type="paragraph" w:customStyle="1" w:styleId="xl122">
    <w:name w:val="xl122"/>
    <w:basedOn w:val="Normal"/>
    <w:rsid w:val="003D6288"/>
    <w:pPr>
      <w:pBdr>
        <w:top w:val="single" w:sz="8" w:space="0" w:color="FFFFFF"/>
        <w:left w:val="single" w:sz="8" w:space="0" w:color="FFFFFF"/>
        <w:bottom w:val="single" w:sz="8" w:space="0" w:color="FFFFFF"/>
        <w:right w:val="single" w:sz="8" w:space="0" w:color="FFFFFF"/>
      </w:pBdr>
      <w:shd w:val="clear" w:color="000000" w:fill="E9EDF4"/>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23">
    <w:name w:val="xl123"/>
    <w:basedOn w:val="Normal"/>
    <w:rsid w:val="003D6288"/>
    <w:pPr>
      <w:pBdr>
        <w:top w:val="single" w:sz="8" w:space="0" w:color="FFFFFF"/>
        <w:left w:val="single" w:sz="8" w:space="0" w:color="FFFFFF"/>
        <w:bottom w:val="single" w:sz="8" w:space="0" w:color="FFFFFF"/>
        <w:right w:val="single" w:sz="8" w:space="0" w:color="FFFFFF"/>
      </w:pBdr>
      <w:shd w:val="clear" w:color="000000" w:fill="D0D8E8"/>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24">
    <w:name w:val="xl124"/>
    <w:basedOn w:val="Normal"/>
    <w:rsid w:val="003D6288"/>
    <w:pP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ru-RU" w:eastAsia="ru-RU"/>
    </w:rPr>
  </w:style>
  <w:style w:type="paragraph" w:customStyle="1" w:styleId="xl125">
    <w:name w:val="xl125"/>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126">
    <w:name w:val="xl126"/>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val="ru-RU" w:eastAsia="ru-RU"/>
    </w:rPr>
  </w:style>
  <w:style w:type="paragraph" w:customStyle="1" w:styleId="xl127">
    <w:name w:val="xl127"/>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128">
    <w:name w:val="xl128"/>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29">
    <w:name w:val="xl129"/>
    <w:basedOn w:val="Normal"/>
    <w:rsid w:val="003D6288"/>
    <w:pPr>
      <w:pBdr>
        <w:top w:val="single" w:sz="8" w:space="0" w:color="FFFFFF"/>
        <w:left w:val="single" w:sz="8" w:space="0" w:color="FFFFFF"/>
        <w:bottom w:val="single" w:sz="8" w:space="0" w:color="FFFFFF"/>
        <w:right w:val="single" w:sz="8" w:space="0" w:color="FFFFFF"/>
      </w:pBdr>
      <w:shd w:val="clear" w:color="000000" w:fill="E9EDF4"/>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0">
    <w:name w:val="xl130"/>
    <w:basedOn w:val="Normal"/>
    <w:rsid w:val="003D6288"/>
    <w:pPr>
      <w:pBdr>
        <w:top w:val="single" w:sz="8" w:space="0" w:color="FFFFFF"/>
        <w:left w:val="single" w:sz="8" w:space="0" w:color="FFFFFF"/>
        <w:bottom w:val="single" w:sz="8" w:space="0" w:color="FFFFFF"/>
        <w:right w:val="single" w:sz="8" w:space="0" w:color="FFFFFF"/>
      </w:pBdr>
      <w:shd w:val="clear" w:color="000000" w:fill="D0D8E8"/>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1">
    <w:name w:val="xl131"/>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32">
    <w:name w:val="xl132"/>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133">
    <w:name w:val="xl133"/>
    <w:basedOn w:val="Normal"/>
    <w:rsid w:val="003D6288"/>
    <w:pPr>
      <w:pBdr>
        <w:top w:val="single" w:sz="8" w:space="0" w:color="FFFFFF"/>
        <w:left w:val="single" w:sz="8" w:space="0" w:color="FFFFFF"/>
        <w:bottom w:val="single" w:sz="8" w:space="0" w:color="FFFFFF"/>
        <w:right w:val="single" w:sz="8" w:space="0" w:color="FFFFFF"/>
      </w:pBdr>
      <w:shd w:val="clear" w:color="000000" w:fill="E9EDF4"/>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4">
    <w:name w:val="xl134"/>
    <w:basedOn w:val="Normal"/>
    <w:rsid w:val="003D6288"/>
    <w:pPr>
      <w:pBdr>
        <w:top w:val="single" w:sz="8" w:space="0" w:color="FFFFFF"/>
        <w:left w:val="single" w:sz="8" w:space="0" w:color="FFFFFF"/>
        <w:bottom w:val="single" w:sz="8" w:space="0" w:color="FFFFFF"/>
        <w:right w:val="single" w:sz="8" w:space="0" w:color="FFFFFF"/>
      </w:pBdr>
      <w:shd w:val="clear" w:color="000000" w:fill="D0D8E8"/>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35">
    <w:name w:val="xl135"/>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136">
    <w:name w:val="xl136"/>
    <w:basedOn w:val="Normal"/>
    <w:rsid w:val="003D6288"/>
    <w:pPr>
      <w:pBdr>
        <w:top w:val="single" w:sz="8" w:space="0" w:color="FFFFFF"/>
        <w:left w:val="single" w:sz="8" w:space="0" w:color="FFFFFF"/>
        <w:right w:val="single" w:sz="8" w:space="0" w:color="FFFFFF"/>
      </w:pBdr>
      <w:shd w:val="clear" w:color="000000" w:fill="D0D8E8"/>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ru-RU" w:eastAsia="ru-RU"/>
    </w:rPr>
  </w:style>
  <w:style w:type="paragraph" w:customStyle="1" w:styleId="xl137">
    <w:name w:val="xl137"/>
    <w:basedOn w:val="Normal"/>
    <w:rsid w:val="003D6288"/>
    <w:pPr>
      <w:pBdr>
        <w:top w:val="single" w:sz="8" w:space="0" w:color="FFFFFF"/>
        <w:left w:val="single" w:sz="8" w:space="0" w:color="FFFFFF"/>
        <w:bottom w:val="single" w:sz="8" w:space="0" w:color="FFFFFF"/>
        <w:right w:val="single" w:sz="8" w:space="0" w:color="FFFFFF"/>
      </w:pBdr>
      <w:shd w:val="clear" w:color="000000" w:fill="D0D8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138">
    <w:name w:val="xl138"/>
    <w:basedOn w:val="Normal"/>
    <w:rsid w:val="003D6288"/>
    <w:pPr>
      <w:shd w:val="clear" w:color="000000" w:fill="D0D8E8"/>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139">
    <w:name w:val="xl139"/>
    <w:basedOn w:val="Normal"/>
    <w:rsid w:val="003D6288"/>
    <w:pPr>
      <w:shd w:val="clear" w:color="000000" w:fill="D0D8E8"/>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ru-RU" w:eastAsia="ru-RU"/>
    </w:rPr>
  </w:style>
  <w:style w:type="paragraph" w:customStyle="1" w:styleId="xl140">
    <w:name w:val="xl140"/>
    <w:basedOn w:val="Normal"/>
    <w:rsid w:val="003D6288"/>
    <w:pPr>
      <w:shd w:val="clear" w:color="000000" w:fill="D0D8E8"/>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41">
    <w:name w:val="xl141"/>
    <w:basedOn w:val="Normal"/>
    <w:rsid w:val="003D628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42">
    <w:name w:val="xl142"/>
    <w:basedOn w:val="Normal"/>
    <w:rsid w:val="003D6288"/>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143">
    <w:name w:val="xl143"/>
    <w:basedOn w:val="Normal"/>
    <w:rsid w:val="003D6288"/>
    <w:pPr>
      <w:pBdr>
        <w:top w:val="single" w:sz="8" w:space="0" w:color="FFFFFF"/>
        <w:left w:val="single" w:sz="8" w:space="0" w:color="FFFFFF"/>
        <w:bottom w:val="single" w:sz="8" w:space="0" w:color="FFFFFF"/>
        <w:right w:val="single" w:sz="8" w:space="0" w:color="FFFFFF"/>
      </w:pBdr>
      <w:shd w:val="clear" w:color="000000" w:fill="E9EDF4"/>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44">
    <w:name w:val="xl144"/>
    <w:basedOn w:val="Normal"/>
    <w:rsid w:val="003D6288"/>
    <w:pPr>
      <w:pBdr>
        <w:top w:val="single" w:sz="8" w:space="0" w:color="FFFFFF"/>
        <w:left w:val="single" w:sz="8" w:space="0" w:color="FFFFFF"/>
        <w:bottom w:val="single" w:sz="8" w:space="0" w:color="FFFFFF"/>
        <w:right w:val="single" w:sz="8" w:space="0" w:color="FFFFFF"/>
      </w:pBdr>
      <w:shd w:val="clear" w:color="000000" w:fill="D0D8E8"/>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45">
    <w:name w:val="xl145"/>
    <w:basedOn w:val="Normal"/>
    <w:rsid w:val="003D6288"/>
    <w:pPr>
      <w:pBdr>
        <w:top w:val="single" w:sz="8" w:space="0" w:color="FFFFFF"/>
        <w:left w:val="single" w:sz="8" w:space="0" w:color="FFFFFF"/>
        <w:bottom w:val="single" w:sz="8" w:space="0" w:color="FFFFFF"/>
        <w:right w:val="single" w:sz="8" w:space="0" w:color="FFFFFF"/>
      </w:pBdr>
      <w:shd w:val="clear" w:color="000000" w:fill="E9EDF4"/>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46">
    <w:name w:val="xl146"/>
    <w:basedOn w:val="Normal"/>
    <w:rsid w:val="003D6288"/>
    <w:pPr>
      <w:pBdr>
        <w:top w:val="single" w:sz="8" w:space="0" w:color="FFFFFF"/>
        <w:left w:val="single" w:sz="8" w:space="0" w:color="FFFFFF"/>
        <w:bottom w:val="single" w:sz="8" w:space="0" w:color="FFFFFF"/>
        <w:right w:val="single" w:sz="8" w:space="0" w:color="FFFFFF"/>
      </w:pBdr>
      <w:shd w:val="clear" w:color="000000" w:fill="D0D8E8"/>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styleId="Subtitle">
    <w:name w:val="Subtitle"/>
    <w:basedOn w:val="Normal"/>
    <w:next w:val="Normal"/>
    <w:link w:val="SubtitleChar"/>
    <w:uiPriority w:val="11"/>
    <w:qFormat/>
    <w:rsid w:val="003D6288"/>
    <w:pPr>
      <w:numPr>
        <w:ilvl w:val="1"/>
      </w:numPr>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3D6288"/>
    <w:rPr>
      <w:rFonts w:asciiTheme="majorHAnsi" w:eastAsiaTheme="majorEastAsia" w:hAnsiTheme="majorHAnsi" w:cstheme="majorBidi"/>
      <w:i/>
      <w:iCs/>
      <w:color w:val="5B9BD5" w:themeColor="accent1"/>
      <w:spacing w:val="15"/>
      <w:sz w:val="24"/>
      <w:szCs w:val="24"/>
      <w:lang w:val="en-US"/>
    </w:rPr>
  </w:style>
  <w:style w:type="paragraph" w:styleId="TOC4">
    <w:name w:val="toc 4"/>
    <w:basedOn w:val="Normal"/>
    <w:next w:val="Normal"/>
    <w:autoRedefine/>
    <w:uiPriority w:val="39"/>
    <w:unhideWhenUsed/>
    <w:rsid w:val="003D6288"/>
    <w:pPr>
      <w:spacing w:after="100" w:line="276" w:lineRule="auto"/>
      <w:ind w:left="660"/>
    </w:pPr>
    <w:rPr>
      <w:rFonts w:eastAsiaTheme="minorEastAsia"/>
      <w:lang w:val="ru-RU" w:eastAsia="ru-RU"/>
    </w:rPr>
  </w:style>
  <w:style w:type="paragraph" w:styleId="IntenseQuote">
    <w:name w:val="Intense Quote"/>
    <w:basedOn w:val="Normal"/>
    <w:next w:val="Normal"/>
    <w:link w:val="IntenseQuoteChar"/>
    <w:uiPriority w:val="30"/>
    <w:qFormat/>
    <w:rsid w:val="003D6288"/>
    <w:pPr>
      <w:pBdr>
        <w:bottom w:val="single" w:sz="4" w:space="4" w:color="5B9BD5" w:themeColor="accent1"/>
      </w:pBdr>
      <w:spacing w:before="200" w:after="280"/>
      <w:ind w:left="936" w:right="936"/>
    </w:pPr>
    <w:rPr>
      <w:b/>
      <w:bCs/>
      <w:i/>
      <w:iCs/>
      <w:color w:val="5B9BD5" w:themeColor="accent1"/>
      <w:lang w:val="en-US"/>
    </w:rPr>
  </w:style>
  <w:style w:type="character" w:customStyle="1" w:styleId="IntenseQuoteChar">
    <w:name w:val="Intense Quote Char"/>
    <w:basedOn w:val="DefaultParagraphFont"/>
    <w:link w:val="IntenseQuote"/>
    <w:uiPriority w:val="30"/>
    <w:rsid w:val="003D6288"/>
    <w:rPr>
      <w:b/>
      <w:bCs/>
      <w:i/>
      <w:iCs/>
      <w:color w:val="5B9BD5" w:themeColor="accent1"/>
      <w:lang w:val="en-US"/>
    </w:rPr>
  </w:style>
  <w:style w:type="character" w:styleId="IntenseEmphasis">
    <w:name w:val="Intense Emphasis"/>
    <w:basedOn w:val="DefaultParagraphFont"/>
    <w:uiPriority w:val="21"/>
    <w:qFormat/>
    <w:rsid w:val="003D6288"/>
    <w:rPr>
      <w:b/>
      <w:bCs/>
      <w:i/>
      <w:iCs/>
      <w:color w:val="5B9BD5" w:themeColor="accent1"/>
    </w:rPr>
  </w:style>
  <w:style w:type="paragraph" w:styleId="TOC5">
    <w:name w:val="toc 5"/>
    <w:basedOn w:val="Normal"/>
    <w:next w:val="Normal"/>
    <w:autoRedefine/>
    <w:uiPriority w:val="39"/>
    <w:unhideWhenUsed/>
    <w:rsid w:val="003D6288"/>
    <w:pPr>
      <w:spacing w:after="100" w:line="276" w:lineRule="auto"/>
      <w:ind w:left="880"/>
    </w:pPr>
    <w:rPr>
      <w:rFonts w:eastAsiaTheme="minorEastAsia"/>
      <w:lang w:val="ru-RU" w:eastAsia="ru-RU"/>
    </w:rPr>
  </w:style>
  <w:style w:type="paragraph" w:styleId="TOC6">
    <w:name w:val="toc 6"/>
    <w:basedOn w:val="Normal"/>
    <w:next w:val="Normal"/>
    <w:autoRedefine/>
    <w:uiPriority w:val="39"/>
    <w:unhideWhenUsed/>
    <w:rsid w:val="003D6288"/>
    <w:pPr>
      <w:spacing w:after="100" w:line="276" w:lineRule="auto"/>
      <w:ind w:left="1100"/>
    </w:pPr>
    <w:rPr>
      <w:rFonts w:eastAsiaTheme="minorEastAsia"/>
      <w:lang w:val="ru-RU" w:eastAsia="ru-RU"/>
    </w:rPr>
  </w:style>
  <w:style w:type="paragraph" w:styleId="TOC7">
    <w:name w:val="toc 7"/>
    <w:basedOn w:val="Normal"/>
    <w:next w:val="Normal"/>
    <w:autoRedefine/>
    <w:uiPriority w:val="39"/>
    <w:unhideWhenUsed/>
    <w:rsid w:val="003D6288"/>
    <w:pPr>
      <w:spacing w:after="100" w:line="276" w:lineRule="auto"/>
      <w:ind w:left="1320"/>
    </w:pPr>
    <w:rPr>
      <w:rFonts w:eastAsiaTheme="minorEastAsia"/>
      <w:lang w:val="ru-RU" w:eastAsia="ru-RU"/>
    </w:rPr>
  </w:style>
  <w:style w:type="paragraph" w:styleId="TOC8">
    <w:name w:val="toc 8"/>
    <w:basedOn w:val="Normal"/>
    <w:next w:val="Normal"/>
    <w:autoRedefine/>
    <w:uiPriority w:val="39"/>
    <w:unhideWhenUsed/>
    <w:rsid w:val="003D6288"/>
    <w:pPr>
      <w:spacing w:after="100" w:line="276" w:lineRule="auto"/>
      <w:ind w:left="1540"/>
    </w:pPr>
    <w:rPr>
      <w:rFonts w:eastAsiaTheme="minorEastAsia"/>
      <w:lang w:val="ru-RU" w:eastAsia="ru-RU"/>
    </w:rPr>
  </w:style>
  <w:style w:type="paragraph" w:styleId="TOC9">
    <w:name w:val="toc 9"/>
    <w:basedOn w:val="Normal"/>
    <w:next w:val="Normal"/>
    <w:autoRedefine/>
    <w:uiPriority w:val="39"/>
    <w:unhideWhenUsed/>
    <w:rsid w:val="003D6288"/>
    <w:pPr>
      <w:spacing w:after="100" w:line="276" w:lineRule="auto"/>
      <w:ind w:left="1760"/>
    </w:pPr>
    <w:rPr>
      <w:rFonts w:eastAsiaTheme="minorEastAsia"/>
      <w:lang w:val="ru-RU" w:eastAsia="ru-RU"/>
    </w:rPr>
  </w:style>
  <w:style w:type="paragraph" w:customStyle="1" w:styleId="IEABodyText">
    <w:name w:val="IEA_Body Text"/>
    <w:basedOn w:val="Normal"/>
    <w:link w:val="IEABodyTextChar"/>
    <w:autoRedefine/>
    <w:qFormat/>
    <w:rsid w:val="003D6288"/>
    <w:pPr>
      <w:spacing w:before="20" w:after="200" w:line="324" w:lineRule="auto"/>
      <w:ind w:left="567" w:hanging="567"/>
      <w:jc w:val="both"/>
    </w:pPr>
    <w:rPr>
      <w:rFonts w:ascii="Arial" w:eastAsia="Calibri" w:hAnsi="Arial" w:cs="Times New Roman"/>
      <w:color w:val="000000"/>
      <w:szCs w:val="21"/>
      <w:lang w:val="en-GB"/>
    </w:rPr>
  </w:style>
  <w:style w:type="character" w:customStyle="1" w:styleId="IEABodyTextChar">
    <w:name w:val="IEA_Body Text Char"/>
    <w:link w:val="IEABodyText"/>
    <w:rsid w:val="003D6288"/>
    <w:rPr>
      <w:rFonts w:ascii="Arial" w:eastAsia="Calibri" w:hAnsi="Arial" w:cs="Times New Roman"/>
      <w:color w:val="000000"/>
      <w:szCs w:val="21"/>
      <w:lang w:val="en-GB"/>
    </w:rPr>
  </w:style>
  <w:style w:type="paragraph" w:customStyle="1" w:styleId="IEABodyBulletTextlevel1">
    <w:name w:val="IEA_Body_Bullet Text_level1"/>
    <w:basedOn w:val="Normal"/>
    <w:link w:val="IEABodyBulletTextlevel1Char"/>
    <w:autoRedefine/>
    <w:qFormat/>
    <w:rsid w:val="003D6288"/>
    <w:pPr>
      <w:numPr>
        <w:numId w:val="8"/>
      </w:numPr>
      <w:spacing w:after="60" w:line="300" w:lineRule="auto"/>
      <w:jc w:val="both"/>
    </w:pPr>
    <w:rPr>
      <w:rFonts w:ascii="Arial" w:eastAsia="Calibri" w:hAnsi="Arial" w:cs="Times New Roman"/>
      <w:color w:val="000000"/>
      <w:sz w:val="21"/>
      <w:lang w:val="en-GB"/>
    </w:rPr>
  </w:style>
  <w:style w:type="character" w:customStyle="1" w:styleId="IEABodyBulletTextlevel1Char">
    <w:name w:val="IEA_Body_Bullet Text_level1 Char"/>
    <w:link w:val="IEABodyBulletTextlevel1"/>
    <w:rsid w:val="003D6288"/>
    <w:rPr>
      <w:rFonts w:ascii="Arial" w:eastAsia="Calibri" w:hAnsi="Arial" w:cs="Times New Roman"/>
      <w:color w:val="000000"/>
      <w:sz w:val="21"/>
      <w:lang w:val="en-GB"/>
    </w:rPr>
  </w:style>
  <w:style w:type="character" w:customStyle="1" w:styleId="a">
    <w:name w:val="Подпись к картинке_"/>
    <w:basedOn w:val="DefaultParagraphFont"/>
    <w:link w:val="a0"/>
    <w:rsid w:val="003D6288"/>
    <w:rPr>
      <w:rFonts w:ascii="Calibri" w:eastAsia="Calibri" w:hAnsi="Calibri" w:cs="Calibri"/>
      <w:shd w:val="clear" w:color="auto" w:fill="FFFFFF"/>
    </w:rPr>
  </w:style>
  <w:style w:type="paragraph" w:customStyle="1" w:styleId="a0">
    <w:name w:val="Подпись к картинке"/>
    <w:basedOn w:val="Normal"/>
    <w:link w:val="a"/>
    <w:rsid w:val="003D6288"/>
    <w:pPr>
      <w:shd w:val="clear" w:color="auto" w:fill="FFFFFF"/>
      <w:spacing w:after="0" w:line="293" w:lineRule="exact"/>
      <w:jc w:val="both"/>
    </w:pPr>
    <w:rPr>
      <w:rFonts w:ascii="Calibri" w:eastAsia="Calibri" w:hAnsi="Calibri" w:cs="Calibri"/>
    </w:rPr>
  </w:style>
  <w:style w:type="character" w:styleId="PlaceholderText">
    <w:name w:val="Placeholder Text"/>
    <w:basedOn w:val="DefaultParagraphFont"/>
    <w:uiPriority w:val="99"/>
    <w:semiHidden/>
    <w:rsid w:val="003D6288"/>
    <w:rPr>
      <w:color w:val="808080"/>
    </w:rPr>
  </w:style>
  <w:style w:type="character" w:customStyle="1" w:styleId="bold">
    <w:name w:val="bold"/>
    <w:basedOn w:val="DefaultParagraphFont"/>
    <w:rsid w:val="003D6288"/>
  </w:style>
  <w:style w:type="character" w:customStyle="1" w:styleId="a1">
    <w:name w:val="Подпись к картинке + Полужирный"/>
    <w:basedOn w:val="a"/>
    <w:rsid w:val="003D6288"/>
    <w:rPr>
      <w:rFonts w:ascii="Calibri" w:eastAsia="Calibri" w:hAnsi="Calibri" w:cs="Calibri"/>
      <w:b/>
      <w:bCs/>
      <w:shd w:val="clear" w:color="auto" w:fill="FFFFFF"/>
    </w:rPr>
  </w:style>
  <w:style w:type="character" w:customStyle="1" w:styleId="8">
    <w:name w:val="Неразрешенное упоминание8"/>
    <w:basedOn w:val="DefaultParagraphFont"/>
    <w:uiPriority w:val="99"/>
    <w:semiHidden/>
    <w:unhideWhenUsed/>
    <w:rsid w:val="003D6288"/>
    <w:rPr>
      <w:color w:val="605E5C"/>
      <w:shd w:val="clear" w:color="auto" w:fill="E1DFDD"/>
    </w:rPr>
  </w:style>
  <w:style w:type="character" w:customStyle="1" w:styleId="9">
    <w:name w:val="Неразрешенное упоминание9"/>
    <w:basedOn w:val="DefaultParagraphFont"/>
    <w:uiPriority w:val="99"/>
    <w:semiHidden/>
    <w:unhideWhenUsed/>
    <w:rsid w:val="003D6288"/>
    <w:rPr>
      <w:color w:val="605E5C"/>
      <w:shd w:val="clear" w:color="auto" w:fill="E1DFDD"/>
    </w:rPr>
  </w:style>
  <w:style w:type="character" w:customStyle="1" w:styleId="100">
    <w:name w:val="Неразрешенное упоминание10"/>
    <w:basedOn w:val="DefaultParagraphFont"/>
    <w:uiPriority w:val="99"/>
    <w:semiHidden/>
    <w:unhideWhenUsed/>
    <w:rsid w:val="003D6288"/>
    <w:rPr>
      <w:color w:val="605E5C"/>
      <w:shd w:val="clear" w:color="auto" w:fill="E1DFDD"/>
    </w:rPr>
  </w:style>
  <w:style w:type="paragraph" w:styleId="DocumentMap">
    <w:name w:val="Document Map"/>
    <w:basedOn w:val="Normal"/>
    <w:link w:val="DocumentMapChar"/>
    <w:uiPriority w:val="99"/>
    <w:semiHidden/>
    <w:unhideWhenUsed/>
    <w:rsid w:val="003D6288"/>
    <w:pPr>
      <w:spacing w:after="0" w:line="240" w:lineRule="auto"/>
    </w:pPr>
    <w:rPr>
      <w:rFonts w:ascii="Tahoma" w:hAnsi="Tahoma" w:cs="Tahoma"/>
      <w:sz w:val="16"/>
      <w:szCs w:val="16"/>
      <w:lang w:val="ru-RU"/>
    </w:rPr>
  </w:style>
  <w:style w:type="character" w:customStyle="1" w:styleId="DocumentMapChar">
    <w:name w:val="Document Map Char"/>
    <w:basedOn w:val="DefaultParagraphFont"/>
    <w:link w:val="DocumentMap"/>
    <w:uiPriority w:val="99"/>
    <w:semiHidden/>
    <w:rsid w:val="003D6288"/>
    <w:rPr>
      <w:rFonts w:ascii="Tahoma" w:hAnsi="Tahoma" w:cs="Tahoma"/>
      <w:sz w:val="16"/>
      <w:szCs w:val="16"/>
      <w:lang w:val="ru-RU"/>
    </w:rPr>
  </w:style>
  <w:style w:type="character" w:customStyle="1" w:styleId="11">
    <w:name w:val="Неразрешенное упоминание11"/>
    <w:basedOn w:val="DefaultParagraphFont"/>
    <w:uiPriority w:val="99"/>
    <w:semiHidden/>
    <w:unhideWhenUsed/>
    <w:rsid w:val="003D6288"/>
    <w:rPr>
      <w:color w:val="605E5C"/>
      <w:shd w:val="clear" w:color="auto" w:fill="E1DFDD"/>
    </w:rPr>
  </w:style>
  <w:style w:type="table" w:styleId="LightList-Accent2">
    <w:name w:val="Light List Accent 2"/>
    <w:basedOn w:val="TableNormal"/>
    <w:uiPriority w:val="61"/>
    <w:rsid w:val="003D6288"/>
    <w:pPr>
      <w:spacing w:after="0" w:line="240" w:lineRule="auto"/>
    </w:pPr>
    <w:rPr>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CaptionChar">
    <w:name w:val="Caption Char"/>
    <w:link w:val="Caption"/>
    <w:uiPriority w:val="35"/>
    <w:rsid w:val="003D6288"/>
    <w:rPr>
      <w:i/>
      <w:iCs/>
      <w:color w:val="44546A" w:themeColor="text2"/>
      <w:sz w:val="18"/>
      <w:szCs w:val="18"/>
      <w:lang w:val="ru-RU"/>
    </w:rPr>
  </w:style>
  <w:style w:type="table" w:customStyle="1" w:styleId="PlainTable31">
    <w:name w:val="Plain Table 31"/>
    <w:basedOn w:val="TableNormal"/>
    <w:uiPriority w:val="43"/>
    <w:rsid w:val="003D6288"/>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3D6288"/>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Reference1">
    <w:name w:val="Footnote Reference1"/>
    <w:basedOn w:val="Normal"/>
    <w:qFormat/>
    <w:rsid w:val="003D6288"/>
    <w:pPr>
      <w:spacing w:line="240" w:lineRule="exact"/>
      <w:ind w:firstLine="360"/>
      <w:jc w:val="both"/>
    </w:pPr>
    <w:rPr>
      <w:rFonts w:ascii="Arial" w:hAnsi="Arial" w:cs="Times New Roman"/>
      <w:sz w:val="20"/>
      <w:vertAlign w:val="superscript"/>
      <w:lang w:val="en-US"/>
    </w:rPr>
  </w:style>
  <w:style w:type="character" w:customStyle="1" w:styleId="12">
    <w:name w:val="Неразрешенное упоминание12"/>
    <w:basedOn w:val="DefaultParagraphFont"/>
    <w:uiPriority w:val="99"/>
    <w:semiHidden/>
    <w:unhideWhenUsed/>
    <w:rsid w:val="003D6288"/>
    <w:rPr>
      <w:color w:val="605E5C"/>
      <w:shd w:val="clear" w:color="auto" w:fill="E1DFDD"/>
    </w:rPr>
  </w:style>
  <w:style w:type="table" w:customStyle="1" w:styleId="TableGrid0">
    <w:name w:val="TableGrid"/>
    <w:rsid w:val="003D6288"/>
    <w:pPr>
      <w:spacing w:after="0" w:line="240" w:lineRule="auto"/>
    </w:pPr>
    <w:rPr>
      <w:rFonts w:eastAsiaTheme="minorEastAsia"/>
      <w:kern w:val="2"/>
      <w:lang w:val="ru-RU" w:eastAsia="ru-RU"/>
      <w14:ligatures w14:val="standardContextual"/>
    </w:rPr>
    <w:tblPr>
      <w:tblCellMar>
        <w:top w:w="0" w:type="dxa"/>
        <w:left w:w="0" w:type="dxa"/>
        <w:bottom w:w="0" w:type="dxa"/>
        <w:right w:w="0" w:type="dxa"/>
      </w:tblCellMar>
    </w:tblPr>
  </w:style>
  <w:style w:type="table" w:customStyle="1" w:styleId="-11">
    <w:name w:val="Светлый список - Акцент 11"/>
    <w:basedOn w:val="TableNormal"/>
    <w:uiPriority w:val="61"/>
    <w:rsid w:val="003D6288"/>
    <w:pPr>
      <w:spacing w:after="0" w:line="240" w:lineRule="auto"/>
    </w:pPr>
    <w:rPr>
      <w:rFonts w:ascii="Times New Roman" w:eastAsia="Times New Roman" w:hAnsi="Times New Roman" w:cs="Times New Roman"/>
      <w:lang w:val="ru-RU"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20">
    <w:name w:val="Заголовок 2 б/н"/>
    <w:basedOn w:val="Heading2"/>
    <w:next w:val="Normal"/>
    <w:uiPriority w:val="99"/>
    <w:rsid w:val="003D6288"/>
    <w:pPr>
      <w:keepLines w:val="0"/>
      <w:tabs>
        <w:tab w:val="num" w:pos="643"/>
      </w:tabs>
      <w:spacing w:before="240" w:after="60" w:line="240" w:lineRule="auto"/>
      <w:ind w:left="142" w:hanging="360"/>
      <w:jc w:val="both"/>
    </w:pPr>
    <w:rPr>
      <w:rFonts w:asciiTheme="minorHAnsi" w:eastAsia="Times New Roman" w:hAnsiTheme="minorHAnsi" w:cs="Times New Roman"/>
      <w:b/>
      <w:bCs/>
      <w:color w:val="0046AA"/>
      <w:sz w:val="24"/>
      <w:szCs w:val="28"/>
      <w:lang w:val="ru-RU" w:eastAsia="ru-RU"/>
    </w:rPr>
  </w:style>
  <w:style w:type="paragraph" w:customStyle="1" w:styleId="xl65">
    <w:name w:val="xl65"/>
    <w:basedOn w:val="Normal"/>
    <w:rsid w:val="003D6288"/>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6">
    <w:name w:val="xl66"/>
    <w:basedOn w:val="Normal"/>
    <w:rsid w:val="003D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67">
    <w:name w:val="xl67"/>
    <w:basedOn w:val="Normal"/>
    <w:rsid w:val="003D6288"/>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8">
    <w:name w:val="xl68"/>
    <w:basedOn w:val="Normal"/>
    <w:rsid w:val="003D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9">
    <w:name w:val="xl69"/>
    <w:basedOn w:val="Normal"/>
    <w:rsid w:val="003D62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0">
    <w:name w:val="xl70"/>
    <w:basedOn w:val="Normal"/>
    <w:rsid w:val="003D628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Light1">
    <w:name w:val="Table Grid Light1"/>
    <w:basedOn w:val="TableNormal"/>
    <w:uiPriority w:val="40"/>
    <w:rsid w:val="003D6288"/>
    <w:pPr>
      <w:spacing w:after="0" w:line="240" w:lineRule="auto"/>
    </w:pPr>
    <w:rPr>
      <w:kern w:val="2"/>
      <w:lang w:val="ru-RU"/>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numirefigura">
    <w:name w:val="Denumire figura"/>
    <w:basedOn w:val="Normal"/>
    <w:link w:val="DenumirefiguraChar"/>
    <w:qFormat/>
    <w:rsid w:val="003D6288"/>
    <w:pPr>
      <w:jc w:val="center"/>
    </w:pPr>
    <w:rPr>
      <w:rFonts w:ascii="Times New Roman" w:hAnsi="Times New Roman"/>
      <w:i/>
      <w:sz w:val="20"/>
      <w:lang w:val="en-US"/>
    </w:rPr>
  </w:style>
  <w:style w:type="character" w:customStyle="1" w:styleId="DenumirefiguraChar">
    <w:name w:val="Denumire figura Char"/>
    <w:basedOn w:val="DefaultParagraphFont"/>
    <w:link w:val="Denumirefigura"/>
    <w:rsid w:val="003D6288"/>
    <w:rPr>
      <w:rFonts w:ascii="Times New Roman" w:hAnsi="Times New Roman"/>
      <w:i/>
      <w:sz w:val="20"/>
      <w:lang w:val="en-US"/>
    </w:rPr>
  </w:style>
  <w:style w:type="character" w:customStyle="1" w:styleId="UnresolvedMention2">
    <w:name w:val="Unresolved Mention2"/>
    <w:basedOn w:val="DefaultParagraphFont"/>
    <w:uiPriority w:val="99"/>
    <w:semiHidden/>
    <w:unhideWhenUsed/>
    <w:rsid w:val="003D6288"/>
    <w:rPr>
      <w:color w:val="605E5C"/>
      <w:shd w:val="clear" w:color="auto" w:fill="E1DFDD"/>
    </w:rPr>
  </w:style>
  <w:style w:type="character" w:customStyle="1" w:styleId="Mention1">
    <w:name w:val="Mention1"/>
    <w:basedOn w:val="DefaultParagraphFont"/>
    <w:uiPriority w:val="99"/>
    <w:unhideWhenUsed/>
    <w:rsid w:val="003D6288"/>
    <w:rPr>
      <w:color w:val="2B579A"/>
      <w:shd w:val="clear" w:color="auto" w:fill="E1DFDD"/>
    </w:rPr>
  </w:style>
  <w:style w:type="character" w:customStyle="1" w:styleId="UnresolvedMention3">
    <w:name w:val="Unresolved Mention3"/>
    <w:basedOn w:val="DefaultParagraphFont"/>
    <w:uiPriority w:val="99"/>
    <w:semiHidden/>
    <w:unhideWhenUsed/>
    <w:rsid w:val="003D6288"/>
    <w:rPr>
      <w:color w:val="605E5C"/>
      <w:shd w:val="clear" w:color="auto" w:fill="E1DFDD"/>
    </w:rPr>
  </w:style>
  <w:style w:type="character" w:customStyle="1" w:styleId="UnresolvedMention4">
    <w:name w:val="Unresolved Mention4"/>
    <w:basedOn w:val="DefaultParagraphFont"/>
    <w:uiPriority w:val="99"/>
    <w:semiHidden/>
    <w:unhideWhenUsed/>
    <w:rsid w:val="003D6288"/>
    <w:rPr>
      <w:color w:val="605E5C"/>
      <w:shd w:val="clear" w:color="auto" w:fill="E1DFDD"/>
    </w:rPr>
  </w:style>
  <w:style w:type="character" w:customStyle="1" w:styleId="object">
    <w:name w:val="object"/>
    <w:basedOn w:val="DefaultParagraphFont"/>
    <w:rsid w:val="003D6288"/>
  </w:style>
  <w:style w:type="character" w:customStyle="1" w:styleId="UnresolvedMention5">
    <w:name w:val="Unresolved Mention5"/>
    <w:basedOn w:val="DefaultParagraphFont"/>
    <w:uiPriority w:val="99"/>
    <w:semiHidden/>
    <w:unhideWhenUsed/>
    <w:rsid w:val="003D6288"/>
    <w:rPr>
      <w:color w:val="605E5C"/>
      <w:shd w:val="clear" w:color="auto" w:fill="E1DFDD"/>
    </w:rPr>
  </w:style>
  <w:style w:type="character" w:customStyle="1" w:styleId="UnresolvedMention6">
    <w:name w:val="Unresolved Mention6"/>
    <w:basedOn w:val="DefaultParagraphFont"/>
    <w:uiPriority w:val="99"/>
    <w:semiHidden/>
    <w:unhideWhenUsed/>
    <w:rsid w:val="003D6288"/>
    <w:rPr>
      <w:color w:val="605E5C"/>
      <w:shd w:val="clear" w:color="auto" w:fill="E1DFDD"/>
    </w:rPr>
  </w:style>
  <w:style w:type="character" w:customStyle="1" w:styleId="UnresolvedMention7">
    <w:name w:val="Unresolved Mention7"/>
    <w:basedOn w:val="DefaultParagraphFont"/>
    <w:uiPriority w:val="99"/>
    <w:semiHidden/>
    <w:unhideWhenUsed/>
    <w:rsid w:val="003D6288"/>
    <w:rPr>
      <w:color w:val="605E5C"/>
      <w:shd w:val="clear" w:color="auto" w:fill="E1DFDD"/>
    </w:rPr>
  </w:style>
  <w:style w:type="paragraph" w:customStyle="1" w:styleId="xl63">
    <w:name w:val="xl63"/>
    <w:basedOn w:val="Normal"/>
    <w:rsid w:val="003D6288"/>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3D6288"/>
    <w:pP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1">
    <w:name w:val="xl71"/>
    <w:basedOn w:val="Normal"/>
    <w:rsid w:val="003D628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3D628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3D628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3D628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3D628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3D628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3D6288"/>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3D6288"/>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3D6288"/>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3D6288"/>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1">
    <w:name w:val="xl81"/>
    <w:basedOn w:val="Normal"/>
    <w:rsid w:val="003D6288"/>
    <w:pPr>
      <w:pBdr>
        <w:top w:val="single" w:sz="4" w:space="0" w:color="auto"/>
        <w:left w:val="single" w:sz="4" w:space="0" w:color="auto"/>
        <w:bottom w:val="single" w:sz="4" w:space="0" w:color="auto"/>
        <w:right w:val="single" w:sz="4" w:space="0" w:color="auto"/>
      </w:pBdr>
      <w:shd w:val="clear" w:color="000000" w:fill="FFEFF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Normal"/>
    <w:rsid w:val="003D6288"/>
    <w:pPr>
      <w:pBdr>
        <w:top w:val="single" w:sz="4" w:space="0" w:color="auto"/>
        <w:left w:val="single" w:sz="4" w:space="0" w:color="auto"/>
        <w:bottom w:val="single" w:sz="4" w:space="0" w:color="auto"/>
        <w:right w:val="single" w:sz="4" w:space="0" w:color="auto"/>
      </w:pBdr>
      <w:shd w:val="clear" w:color="000000" w:fill="FFEFF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3D6288"/>
    <w:pPr>
      <w:pBdr>
        <w:top w:val="single" w:sz="4" w:space="0" w:color="auto"/>
        <w:left w:val="single" w:sz="4" w:space="0" w:color="auto"/>
        <w:bottom w:val="single" w:sz="4" w:space="0" w:color="auto"/>
        <w:right w:val="single" w:sz="4" w:space="0" w:color="auto"/>
      </w:pBdr>
      <w:shd w:val="clear" w:color="000000" w:fill="FFEFF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4">
    <w:name w:val="xl84"/>
    <w:basedOn w:val="Normal"/>
    <w:rsid w:val="003D6288"/>
    <w:pPr>
      <w:pBdr>
        <w:top w:val="single" w:sz="4" w:space="0" w:color="auto"/>
        <w:left w:val="single" w:sz="4" w:space="0" w:color="auto"/>
        <w:bottom w:val="single" w:sz="4" w:space="0" w:color="auto"/>
        <w:right w:val="single" w:sz="4" w:space="0" w:color="auto"/>
      </w:pBdr>
      <w:shd w:val="clear" w:color="000000" w:fill="FFEFF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5">
    <w:name w:val="xl85"/>
    <w:basedOn w:val="Normal"/>
    <w:rsid w:val="003D6288"/>
    <w:pPr>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3D6288"/>
    <w:pPr>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md/cautare/getResults?doc_id=98936&amp;lang=ro" TargetMode="External"/><Relationship Id="rId7" Type="http://schemas.openxmlformats.org/officeDocument/2006/relationships/hyperlink" Target="https://monitorul.gov.md/ro/monitorul/view/pdf/2579/part/1" TargetMode="External"/><Relationship Id="rId2" Type="http://schemas.openxmlformats.org/officeDocument/2006/relationships/hyperlink" Target="https://unfccc.int/sites/default/files/resource/Moldova_NIR_1990-2020_EN_web.pdf" TargetMode="External"/><Relationship Id="rId1" Type="http://schemas.openxmlformats.org/officeDocument/2006/relationships/hyperlink" Target="https://www.eeas.europa.eu/eeas/global-strategy-european-unions-foreign-and-security-policy_en" TargetMode="External"/><Relationship Id="rId6" Type="http://schemas.openxmlformats.org/officeDocument/2006/relationships/hyperlink" Target="https://www.legis.md/cautare/getResults?doc_id=68103&amp;lang=ro" TargetMode="External"/><Relationship Id="rId5" Type="http://schemas.openxmlformats.org/officeDocument/2006/relationships/hyperlink" Target="https://particip.gov.md/ro/document/stages/ministerul-infrastructurii-si-dezvoltarii-regionale-anunta-despre-initierea-elaborarii-documentului-de-politici-publice-strategia-energetica-a-republicii-moldova-pana-in-anul-2050/9942" TargetMode="External"/><Relationship Id="rId4" Type="http://schemas.openxmlformats.org/officeDocument/2006/relationships/hyperlink" Target="https://www.legis.md/cautare/getResults?doc_id=128987&amp;lang=r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e\NIR2022\NECP%20Moldova\emisii%20pe%20ambele%20malur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1048;&#1085;&#1092;&#1086;&#1088;&#1084;&#1072;&#1094;&#1080;&#1103;\&#1054;&#1054;&#1053;\&#1055;&#1088;&#1086;&#1077;&#1082;&#1090;&#1099;%20&#1080;%20&#1087;&#1072;&#1082;&#1077;&#1090;&#1099;\Moldova\&#1052;&#1086;&#1083;&#1076;&#1086;&#1074;&#1072;%20+&#1057;&#1077;&#1088;&#1078;&#1080;&#1091;\&#1052;&#1086;&#1076;&#1077;&#1083;&#1100;\WPM-MD-2022-necp_17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ladz\AppData\Roaming\Microsoft\Excel\WPM-MD-2022-necp_all%20(version%201).xlsb"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ladz\AppData\Roaming\Microsoft\Excel\WPM-MD-2022-necp_all%20(version%201).xlsb"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D:\Documente\NIR2022\NECP%20Moldova\grafice%20capitol%20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spPr>
            <a:solidFill>
              <a:schemeClr val="accent1"/>
            </a:solidFill>
            <a:ln>
              <a:noFill/>
            </a:ln>
            <a:effectLst/>
          </c:spPr>
          <c:dLbls>
            <c:dLbl>
              <c:idx val="0"/>
              <c:delete val="1"/>
              <c:extLst xmlns:c16r2="http://schemas.microsoft.com/office/drawing/2015/06/chart">
                <c:ext xmlns:c16="http://schemas.microsoft.com/office/drawing/2014/chart" uri="{C3380CC4-5D6E-409C-BE32-E72D297353CC}">
                  <c16:uniqueId val="{00000000-4717-4C73-B355-75E0694B5B4B}"/>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4717-4C73-B355-75E0694B5B4B}"/>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4717-4C73-B355-75E0694B5B4B}"/>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4717-4C73-B355-75E0694B5B4B}"/>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4-4717-4C73-B355-75E0694B5B4B}"/>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5-4717-4C73-B355-75E0694B5B4B}"/>
                </c:ext>
                <c:ext xmlns:c15="http://schemas.microsoft.com/office/drawing/2012/chart" uri="{CE6537A1-D6FC-4f65-9D91-7224C49458BB}"/>
              </c:extLst>
            </c:dLbl>
            <c:dLbl>
              <c:idx val="6"/>
              <c:layout>
                <c:manualLayout>
                  <c:x val="-8.3333333333334356E-3"/>
                  <c:y val="-8.79629629629629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717-4C73-B355-75E0694B5B4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Sheet1!$C$2:$I$2</c:f>
              <c:numCache>
                <c:formatCode>General</c:formatCode>
                <c:ptCount val="7"/>
                <c:pt idx="0">
                  <c:v>2020</c:v>
                </c:pt>
                <c:pt idx="1">
                  <c:v>2025</c:v>
                </c:pt>
                <c:pt idx="2">
                  <c:v>2030</c:v>
                </c:pt>
                <c:pt idx="3">
                  <c:v>2035</c:v>
                </c:pt>
                <c:pt idx="4">
                  <c:v>2040</c:v>
                </c:pt>
                <c:pt idx="5">
                  <c:v>2045</c:v>
                </c:pt>
                <c:pt idx="6">
                  <c:v>2050</c:v>
                </c:pt>
              </c:numCache>
            </c:numRef>
          </c:cat>
          <c:val>
            <c:numRef>
              <c:f>Sheet1!$C$3:$I$3</c:f>
              <c:numCache>
                <c:formatCode>#,##0</c:formatCode>
                <c:ptCount val="7"/>
                <c:pt idx="0">
                  <c:v>8633</c:v>
                </c:pt>
                <c:pt idx="1">
                  <c:v>7071</c:v>
                </c:pt>
                <c:pt idx="2">
                  <c:v>4841</c:v>
                </c:pt>
                <c:pt idx="3">
                  <c:v>1600</c:v>
                </c:pt>
                <c:pt idx="4">
                  <c:v>1070</c:v>
                </c:pt>
                <c:pt idx="5">
                  <c:v>1017</c:v>
                </c:pt>
                <c:pt idx="6" formatCode="General">
                  <c:v>915</c:v>
                </c:pt>
              </c:numCache>
            </c:numRef>
          </c:val>
          <c:extLst xmlns:c16r2="http://schemas.microsoft.com/office/drawing/2015/06/chart">
            <c:ext xmlns:c16="http://schemas.microsoft.com/office/drawing/2014/chart" uri="{C3380CC4-5D6E-409C-BE32-E72D297353CC}">
              <c16:uniqueId val="{00000007-4717-4C73-B355-75E0694B5B4B}"/>
            </c:ext>
          </c:extLst>
        </c:ser>
        <c:dLbls>
          <c:showLegendKey val="0"/>
          <c:showVal val="0"/>
          <c:showCatName val="0"/>
          <c:showSerName val="0"/>
          <c:showPercent val="0"/>
          <c:showBubbleSize val="0"/>
        </c:dLbls>
        <c:axId val="-1228391088"/>
        <c:axId val="-1228390544"/>
      </c:areaChart>
      <c:catAx>
        <c:axId val="-12283910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390544"/>
        <c:crosses val="autoZero"/>
        <c:auto val="1"/>
        <c:lblAlgn val="ctr"/>
        <c:lblOffset val="100"/>
        <c:noMultiLvlLbl val="0"/>
      </c:catAx>
      <c:valAx>
        <c:axId val="-1228390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GHG emissions, ktCO2 eq</a:t>
                </a:r>
              </a:p>
            </c:rich>
          </c:tx>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391088"/>
        <c:crosses val="autoZero"/>
        <c:crossBetween val="midCat"/>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WEM with LULUCF</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5"/>
              <c:dLblPos val="b"/>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000-87C0-4A77-A7D4-313EE843ACE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Sheet1!$C$39:$I$39</c:f>
              <c:numCache>
                <c:formatCode>General</c:formatCode>
                <c:ptCount val="7"/>
                <c:pt idx="0">
                  <c:v>2020</c:v>
                </c:pt>
                <c:pt idx="1">
                  <c:v>2025</c:v>
                </c:pt>
                <c:pt idx="2">
                  <c:v>2030</c:v>
                </c:pt>
                <c:pt idx="3">
                  <c:v>2035</c:v>
                </c:pt>
                <c:pt idx="4">
                  <c:v>2040</c:v>
                </c:pt>
                <c:pt idx="5">
                  <c:v>2045</c:v>
                </c:pt>
                <c:pt idx="6">
                  <c:v>2050</c:v>
                </c:pt>
              </c:numCache>
            </c:numRef>
          </c:cat>
          <c:val>
            <c:numRef>
              <c:f>Sheet1!$C$52:$I$52</c:f>
              <c:numCache>
                <c:formatCode>#,##0</c:formatCode>
                <c:ptCount val="7"/>
                <c:pt idx="0">
                  <c:v>13650</c:v>
                </c:pt>
                <c:pt idx="1">
                  <c:v>12055</c:v>
                </c:pt>
                <c:pt idx="2">
                  <c:v>10199</c:v>
                </c:pt>
                <c:pt idx="3">
                  <c:v>9876</c:v>
                </c:pt>
                <c:pt idx="4">
                  <c:v>10031</c:v>
                </c:pt>
                <c:pt idx="5">
                  <c:v>10190</c:v>
                </c:pt>
                <c:pt idx="6">
                  <c:v>10306</c:v>
                </c:pt>
              </c:numCache>
            </c:numRef>
          </c:val>
          <c:smooth val="0"/>
          <c:extLst xmlns:c16r2="http://schemas.microsoft.com/office/drawing/2015/06/chart">
            <c:ext xmlns:c16="http://schemas.microsoft.com/office/drawing/2014/chart" uri="{C3380CC4-5D6E-409C-BE32-E72D297353CC}">
              <c16:uniqueId val="{00000001-87C0-4A77-A7D4-313EE843ACE4}"/>
            </c:ext>
          </c:extLst>
        </c:ser>
        <c:ser>
          <c:idx val="1"/>
          <c:order val="1"/>
          <c:tx>
            <c:v>WEM without LULUCF</c:v>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5"/>
              <c:tx>
                <c:rich>
                  <a:bodyPr/>
                  <a:lstStyle/>
                  <a:p>
                    <a:fld id="{FA50C098-10F5-4578-A9EA-53E3F93250F7}" type="SERIESNAME">
                      <a:rPr lang="en-US"/>
                      <a:pPr/>
                      <a:t>[SERIES NAME]</a:t>
                    </a:fld>
                    <a:endParaRPr lang="en-GB"/>
                  </a:p>
                </c:rich>
              </c:tx>
              <c:dLblPos val="t"/>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02-87C0-4A77-A7D4-313EE843ACE4}"/>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Sheet1!$C$39:$I$39</c:f>
              <c:numCache>
                <c:formatCode>General</c:formatCode>
                <c:ptCount val="7"/>
                <c:pt idx="0">
                  <c:v>2020</c:v>
                </c:pt>
                <c:pt idx="1">
                  <c:v>2025</c:v>
                </c:pt>
                <c:pt idx="2">
                  <c:v>2030</c:v>
                </c:pt>
                <c:pt idx="3">
                  <c:v>2035</c:v>
                </c:pt>
                <c:pt idx="4">
                  <c:v>2040</c:v>
                </c:pt>
                <c:pt idx="5">
                  <c:v>2045</c:v>
                </c:pt>
                <c:pt idx="6">
                  <c:v>2050</c:v>
                </c:pt>
              </c:numCache>
            </c:numRef>
          </c:cat>
          <c:val>
            <c:numRef>
              <c:f>Sheet1!$C$53:$I$53</c:f>
              <c:numCache>
                <c:formatCode>#,##0</c:formatCode>
                <c:ptCount val="7"/>
                <c:pt idx="0">
                  <c:v>13654</c:v>
                </c:pt>
                <c:pt idx="1">
                  <c:v>12941</c:v>
                </c:pt>
                <c:pt idx="2">
                  <c:v>11979</c:v>
                </c:pt>
                <c:pt idx="3">
                  <c:v>13168</c:v>
                </c:pt>
                <c:pt idx="4">
                  <c:v>13248</c:v>
                </c:pt>
                <c:pt idx="5">
                  <c:v>13332</c:v>
                </c:pt>
                <c:pt idx="6">
                  <c:v>13376</c:v>
                </c:pt>
              </c:numCache>
            </c:numRef>
          </c:val>
          <c:smooth val="0"/>
          <c:extLst xmlns:c16r2="http://schemas.microsoft.com/office/drawing/2015/06/chart">
            <c:ext xmlns:c16="http://schemas.microsoft.com/office/drawing/2014/chart" uri="{C3380CC4-5D6E-409C-BE32-E72D297353CC}">
              <c16:uniqueId val="{00000003-87C0-4A77-A7D4-313EE843ACE4}"/>
            </c:ext>
          </c:extLst>
        </c:ser>
        <c:ser>
          <c:idx val="2"/>
          <c:order val="2"/>
          <c:tx>
            <c:v>NDC target 2030</c:v>
          </c:tx>
          <c:spPr>
            <a:ln w="57150" cap="rnd">
              <a:solidFill>
                <a:srgbClr val="002060"/>
              </a:solidFill>
              <a:round/>
            </a:ln>
            <a:effectLst/>
          </c:spPr>
          <c:marker>
            <c:symbol val="circle"/>
            <c:size val="5"/>
            <c:spPr>
              <a:solidFill>
                <a:schemeClr val="accent3"/>
              </a:solidFill>
              <a:ln w="57150">
                <a:solidFill>
                  <a:srgbClr val="002060"/>
                </a:solidFill>
              </a:ln>
              <a:effectLst/>
            </c:spPr>
          </c:marker>
          <c:dLbls>
            <c:dLbl>
              <c:idx val="2"/>
              <c:layout>
                <c:manualLayout>
                  <c:x val="-5.2777777777777778E-2"/>
                  <c:y val="-5.54272517321016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7C0-4A77-A7D4-313EE843ACE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Sheet1!$C$56:$E$56</c:f>
              <c:numCache>
                <c:formatCode>#,##0</c:formatCode>
                <c:ptCount val="3"/>
                <c:pt idx="0">
                  <c:v>13469.999999999998</c:v>
                </c:pt>
                <c:pt idx="1">
                  <c:v>13469.999999999998</c:v>
                </c:pt>
                <c:pt idx="2">
                  <c:v>13469.999999999998</c:v>
                </c:pt>
              </c:numCache>
            </c:numRef>
          </c:val>
          <c:smooth val="0"/>
          <c:extLst xmlns:c16r2="http://schemas.microsoft.com/office/drawing/2015/06/chart">
            <c:ext xmlns:c16="http://schemas.microsoft.com/office/drawing/2014/chart" uri="{C3380CC4-5D6E-409C-BE32-E72D297353CC}">
              <c16:uniqueId val="{00000005-87C0-4A77-A7D4-313EE843ACE4}"/>
            </c:ext>
          </c:extLst>
        </c:ser>
        <c:dLbls>
          <c:showLegendKey val="0"/>
          <c:showVal val="0"/>
          <c:showCatName val="0"/>
          <c:showSerName val="0"/>
          <c:showPercent val="0"/>
          <c:showBubbleSize val="0"/>
        </c:dLbls>
        <c:marker val="1"/>
        <c:smooth val="0"/>
        <c:axId val="-1228390000"/>
        <c:axId val="-1228389456"/>
      </c:lineChart>
      <c:catAx>
        <c:axId val="-122839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389456"/>
        <c:crosses val="autoZero"/>
        <c:auto val="1"/>
        <c:lblAlgn val="ctr"/>
        <c:lblOffset val="100"/>
        <c:noMultiLvlLbl val="0"/>
      </c:catAx>
      <c:valAx>
        <c:axId val="-1228389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GHG emissions, ktCO2eq</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390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'7.a'!$BH$2</c:f>
          <c:strCache>
            <c:ptCount val="1"/>
            <c:pt idx="0">
              <c:v>Final Energy Consumption</c:v>
            </c:pt>
          </c:strCache>
        </c:strRef>
      </c:tx>
      <c:overlay val="1"/>
      <c:txPr>
        <a:bodyPr/>
        <a:lstStyle/>
        <a:p>
          <a:pPr>
            <a:defRPr sz="1400"/>
          </a:pPr>
          <a:endParaRPr lang="en-US"/>
        </a:p>
      </c:txPr>
    </c:title>
    <c:autoTitleDeleted val="0"/>
    <c:plotArea>
      <c:layout>
        <c:manualLayout>
          <c:layoutTarget val="inner"/>
          <c:xMode val="edge"/>
          <c:yMode val="edge"/>
          <c:x val="8.1097230164665177E-2"/>
          <c:y val="0.14869410659202847"/>
          <c:w val="0.64699929883880869"/>
          <c:h val="0.71279126845961371"/>
        </c:manualLayout>
      </c:layout>
      <c:areaChart>
        <c:grouping val="stacked"/>
        <c:varyColors val="0"/>
        <c:ser>
          <c:idx val="0"/>
          <c:order val="0"/>
          <c:tx>
            <c:strRef>
              <c:f>'7.a'!$B$4</c:f>
              <c:strCache>
                <c:ptCount val="1"/>
                <c:pt idx="0">
                  <c:v>Anthracite</c:v>
                </c:pt>
              </c:strCache>
            </c:strRef>
          </c:tx>
          <c:cat>
            <c:numRef>
              <c:f>'7.a'!$C$3:$AK$3</c:f>
              <c:numCache>
                <c:formatCode>General</c:formatCode>
                <c:ptCount val="7"/>
                <c:pt idx="0">
                  <c:v>2020</c:v>
                </c:pt>
                <c:pt idx="1">
                  <c:v>2025</c:v>
                </c:pt>
                <c:pt idx="2">
                  <c:v>2030</c:v>
                </c:pt>
                <c:pt idx="3">
                  <c:v>2035</c:v>
                </c:pt>
                <c:pt idx="4">
                  <c:v>2040</c:v>
                </c:pt>
                <c:pt idx="5">
                  <c:v>2045</c:v>
                </c:pt>
                <c:pt idx="6">
                  <c:v>2050</c:v>
                </c:pt>
              </c:numCache>
            </c:numRef>
          </c:cat>
          <c:val>
            <c:numRef>
              <c:f>'7.a'!$C$4:$AK$4</c:f>
              <c:numCache>
                <c:formatCode>_(* #\ ##0.00_);_(* \(#\ ##0.00\);_(* "-"??_);_(@_)</c:formatCode>
                <c:ptCount val="7"/>
                <c:pt idx="0">
                  <c:v>1.3199999999999998</c:v>
                </c:pt>
                <c:pt idx="1">
                  <c:v>0.22000000000000003</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0-458C-4509-9A4A-F9314FB7612C}"/>
            </c:ext>
          </c:extLst>
        </c:ser>
        <c:ser>
          <c:idx val="1"/>
          <c:order val="1"/>
          <c:tx>
            <c:strRef>
              <c:f>'7.a'!$B$5</c:f>
              <c:strCache>
                <c:ptCount val="1"/>
                <c:pt idx="0">
                  <c:v>Other bituminous coal</c:v>
                </c:pt>
              </c:strCache>
            </c:strRef>
          </c:tx>
          <c:cat>
            <c:numRef>
              <c:f>'7.a'!$C$3:$AK$3</c:f>
              <c:numCache>
                <c:formatCode>General</c:formatCode>
                <c:ptCount val="7"/>
                <c:pt idx="0">
                  <c:v>2020</c:v>
                </c:pt>
                <c:pt idx="1">
                  <c:v>2025</c:v>
                </c:pt>
                <c:pt idx="2">
                  <c:v>2030</c:v>
                </c:pt>
                <c:pt idx="3">
                  <c:v>2035</c:v>
                </c:pt>
                <c:pt idx="4">
                  <c:v>2040</c:v>
                </c:pt>
                <c:pt idx="5">
                  <c:v>2045</c:v>
                </c:pt>
                <c:pt idx="6">
                  <c:v>2050</c:v>
                </c:pt>
              </c:numCache>
            </c:numRef>
          </c:cat>
          <c:val>
            <c:numRef>
              <c:f>'7.a'!$C$5:$AK$5</c:f>
              <c:numCache>
                <c:formatCode>_(* #\ ##0.00_);_(* \(#\ ##0.00\);_(* "-"??_);_(@_)</c:formatCode>
                <c:ptCount val="7"/>
                <c:pt idx="0">
                  <c:v>24.979277623769942</c:v>
                </c:pt>
                <c:pt idx="1">
                  <c:v>23.91221217053597</c:v>
                </c:pt>
                <c:pt idx="2">
                  <c:v>23.895968720574185</c:v>
                </c:pt>
                <c:pt idx="3">
                  <c:v>24.193885387240851</c:v>
                </c:pt>
                <c:pt idx="4">
                  <c:v>24.491802053907517</c:v>
                </c:pt>
                <c:pt idx="5">
                  <c:v>23.741195462095156</c:v>
                </c:pt>
                <c:pt idx="6">
                  <c:v>20.716195462095158</c:v>
                </c:pt>
              </c:numCache>
            </c:numRef>
          </c:val>
          <c:extLst xmlns:c16r2="http://schemas.microsoft.com/office/drawing/2015/06/chart">
            <c:ext xmlns:c16="http://schemas.microsoft.com/office/drawing/2014/chart" uri="{C3380CC4-5D6E-409C-BE32-E72D297353CC}">
              <c16:uniqueId val="{00000001-458C-4509-9A4A-F9314FB7612C}"/>
            </c:ext>
          </c:extLst>
        </c:ser>
        <c:ser>
          <c:idx val="2"/>
          <c:order val="2"/>
          <c:tx>
            <c:strRef>
              <c:f>'7.a'!$B$6</c:f>
              <c:strCache>
                <c:ptCount val="1"/>
                <c:pt idx="0">
                  <c:v>Lignite / Brown Coal</c:v>
                </c:pt>
              </c:strCache>
            </c:strRef>
          </c:tx>
          <c:cat>
            <c:numRef>
              <c:f>'7.a'!$C$3:$AK$3</c:f>
              <c:numCache>
                <c:formatCode>General</c:formatCode>
                <c:ptCount val="7"/>
                <c:pt idx="0">
                  <c:v>2020</c:v>
                </c:pt>
                <c:pt idx="1">
                  <c:v>2025</c:v>
                </c:pt>
                <c:pt idx="2">
                  <c:v>2030</c:v>
                </c:pt>
                <c:pt idx="3">
                  <c:v>2035</c:v>
                </c:pt>
                <c:pt idx="4">
                  <c:v>2040</c:v>
                </c:pt>
                <c:pt idx="5">
                  <c:v>2045</c:v>
                </c:pt>
                <c:pt idx="6">
                  <c:v>2050</c:v>
                </c:pt>
              </c:numCache>
            </c:numRef>
          </c:cat>
          <c:val>
            <c:numRef>
              <c:f>'7.a'!$C$6:$AK$6</c:f>
              <c:numCache>
                <c:formatCode>_(* #\ ##0.00_);_(* \(#\ ##0.00\);_(* "-"??_);_(@_)</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2-458C-4509-9A4A-F9314FB7612C}"/>
            </c:ext>
          </c:extLst>
        </c:ser>
        <c:ser>
          <c:idx val="3"/>
          <c:order val="3"/>
          <c:tx>
            <c:strRef>
              <c:f>'7.a'!$B$7</c:f>
              <c:strCache>
                <c:ptCount val="1"/>
                <c:pt idx="0">
                  <c:v>Coke oven coke</c:v>
                </c:pt>
              </c:strCache>
            </c:strRef>
          </c:tx>
          <c:cat>
            <c:numRef>
              <c:f>'7.a'!$C$3:$AK$3</c:f>
              <c:numCache>
                <c:formatCode>General</c:formatCode>
                <c:ptCount val="7"/>
                <c:pt idx="0">
                  <c:v>2020</c:v>
                </c:pt>
                <c:pt idx="1">
                  <c:v>2025</c:v>
                </c:pt>
                <c:pt idx="2">
                  <c:v>2030</c:v>
                </c:pt>
                <c:pt idx="3">
                  <c:v>2035</c:v>
                </c:pt>
                <c:pt idx="4">
                  <c:v>2040</c:v>
                </c:pt>
                <c:pt idx="5">
                  <c:v>2045</c:v>
                </c:pt>
                <c:pt idx="6">
                  <c:v>2050</c:v>
                </c:pt>
              </c:numCache>
            </c:numRef>
          </c:cat>
          <c:val>
            <c:numRef>
              <c:f>'7.a'!$C$7:$AK$7</c:f>
              <c:numCache>
                <c:formatCode>_(* #\ ##0.00_);_(* \(#\ ##0.00\);_(* "-"??_);_(@_)</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3-458C-4509-9A4A-F9314FB7612C}"/>
            </c:ext>
          </c:extLst>
        </c:ser>
        <c:ser>
          <c:idx val="4"/>
          <c:order val="4"/>
          <c:tx>
            <c:strRef>
              <c:f>'7.a'!$B$8</c:f>
              <c:strCache>
                <c:ptCount val="1"/>
                <c:pt idx="0">
                  <c:v>BKB</c:v>
                </c:pt>
              </c:strCache>
            </c:strRef>
          </c:tx>
          <c:cat>
            <c:numRef>
              <c:f>'7.a'!$C$3:$AK$3</c:f>
              <c:numCache>
                <c:formatCode>General</c:formatCode>
                <c:ptCount val="7"/>
                <c:pt idx="0">
                  <c:v>2020</c:v>
                </c:pt>
                <c:pt idx="1">
                  <c:v>2025</c:v>
                </c:pt>
                <c:pt idx="2">
                  <c:v>2030</c:v>
                </c:pt>
                <c:pt idx="3">
                  <c:v>2035</c:v>
                </c:pt>
                <c:pt idx="4">
                  <c:v>2040</c:v>
                </c:pt>
                <c:pt idx="5">
                  <c:v>2045</c:v>
                </c:pt>
                <c:pt idx="6">
                  <c:v>2050</c:v>
                </c:pt>
              </c:numCache>
            </c:numRef>
          </c:cat>
          <c:val>
            <c:numRef>
              <c:f>'7.a'!$C$8:$AK$8</c:f>
              <c:numCache>
                <c:formatCode>_(* #\ ##0.00_);_(* \(#\ ##0.00\);_(* "-"??_);_(@_)</c:formatCode>
                <c:ptCount val="7"/>
                <c:pt idx="0">
                  <c:v>5.3266666666666662</c:v>
                </c:pt>
                <c:pt idx="1">
                  <c:v>3.5049999999999999</c:v>
                </c:pt>
                <c:pt idx="2">
                  <c:v>2.6033333333333335</c:v>
                </c:pt>
                <c:pt idx="3">
                  <c:v>1.9616666666666669</c:v>
                </c:pt>
                <c:pt idx="4">
                  <c:v>1.3199999999999998</c:v>
                </c:pt>
                <c:pt idx="5">
                  <c:v>0.67833333333333334</c:v>
                </c:pt>
                <c:pt idx="6">
                  <c:v>0.32999999999999996</c:v>
                </c:pt>
              </c:numCache>
            </c:numRef>
          </c:val>
          <c:extLst xmlns:c16r2="http://schemas.microsoft.com/office/drawing/2015/06/chart">
            <c:ext xmlns:c16="http://schemas.microsoft.com/office/drawing/2014/chart" uri="{C3380CC4-5D6E-409C-BE32-E72D297353CC}">
              <c16:uniqueId val="{00000004-458C-4509-9A4A-F9314FB7612C}"/>
            </c:ext>
          </c:extLst>
        </c:ser>
        <c:ser>
          <c:idx val="5"/>
          <c:order val="5"/>
          <c:tx>
            <c:strRef>
              <c:f>'7.a'!$B$9</c:f>
              <c:strCache>
                <c:ptCount val="1"/>
                <c:pt idx="0">
                  <c:v>Refinery gas</c:v>
                </c:pt>
              </c:strCache>
            </c:strRef>
          </c:tx>
          <c:cat>
            <c:numRef>
              <c:f>'7.a'!$C$3:$AK$3</c:f>
              <c:numCache>
                <c:formatCode>General</c:formatCode>
                <c:ptCount val="7"/>
                <c:pt idx="0">
                  <c:v>2020</c:v>
                </c:pt>
                <c:pt idx="1">
                  <c:v>2025</c:v>
                </c:pt>
                <c:pt idx="2">
                  <c:v>2030</c:v>
                </c:pt>
                <c:pt idx="3">
                  <c:v>2035</c:v>
                </c:pt>
                <c:pt idx="4">
                  <c:v>2040</c:v>
                </c:pt>
                <c:pt idx="5">
                  <c:v>2045</c:v>
                </c:pt>
                <c:pt idx="6">
                  <c:v>2050</c:v>
                </c:pt>
              </c:numCache>
            </c:numRef>
          </c:cat>
          <c:val>
            <c:numRef>
              <c:f>'7.a'!$C$9:$AK$9</c:f>
              <c:numCache>
                <c:formatCode>_(* #\ ##0.00_);_(* \(#\ ##0.00\);_(* "-"??_);_(@_)</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5-458C-4509-9A4A-F9314FB7612C}"/>
            </c:ext>
          </c:extLst>
        </c:ser>
        <c:ser>
          <c:idx val="6"/>
          <c:order val="6"/>
          <c:tx>
            <c:strRef>
              <c:f>'7.a'!$B$10</c:f>
              <c:strCache>
                <c:ptCount val="1"/>
                <c:pt idx="0">
                  <c:v>LPG</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'7.a'!$C$10:$AK$10</c:f>
              <c:numCache>
                <c:formatCode>_(* #\ ##0.00_);_(* \(#\ ##0.00\);_(* "-"??_);_(@_)</c:formatCode>
                <c:ptCount val="7"/>
                <c:pt idx="0">
                  <c:v>95.454545454523739</c:v>
                </c:pt>
                <c:pt idx="1">
                  <c:v>110.72727272730964</c:v>
                </c:pt>
                <c:pt idx="2">
                  <c:v>121.13632349152095</c:v>
                </c:pt>
                <c:pt idx="3">
                  <c:v>109.2319147063151</c:v>
                </c:pt>
                <c:pt idx="4">
                  <c:v>80.196650793756561</c:v>
                </c:pt>
                <c:pt idx="5">
                  <c:v>75.538872139199384</c:v>
                </c:pt>
                <c:pt idx="6">
                  <c:v>73.313167707557085</c:v>
                </c:pt>
              </c:numCache>
            </c:numRef>
          </c:val>
          <c:extLst xmlns:c16r2="http://schemas.microsoft.com/office/drawing/2015/06/chart">
            <c:ext xmlns:c16="http://schemas.microsoft.com/office/drawing/2014/chart" uri="{C3380CC4-5D6E-409C-BE32-E72D297353CC}">
              <c16:uniqueId val="{00000006-458C-4509-9A4A-F9314FB7612C}"/>
            </c:ext>
          </c:extLst>
        </c:ser>
        <c:ser>
          <c:idx val="7"/>
          <c:order val="7"/>
          <c:tx>
            <c:strRef>
              <c:f>'7.a'!$B$11</c:f>
              <c:strCache>
                <c:ptCount val="1"/>
                <c:pt idx="0">
                  <c:v>Motor Gasoline (w/o bio)</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'7.a'!$C$11:$AK$11</c:f>
              <c:numCache>
                <c:formatCode>_(* #\ ##0.00_);_(* \(#\ ##0.00\);_(* "-"??_);_(@_)</c:formatCode>
                <c:ptCount val="7"/>
                <c:pt idx="0">
                  <c:v>134.56994123640968</c:v>
                </c:pt>
                <c:pt idx="1">
                  <c:v>129.15144347685583</c:v>
                </c:pt>
                <c:pt idx="2">
                  <c:v>148.94977459009266</c:v>
                </c:pt>
                <c:pt idx="3">
                  <c:v>169.75688851394861</c:v>
                </c:pt>
                <c:pt idx="4">
                  <c:v>191.58255570667336</c:v>
                </c:pt>
                <c:pt idx="5">
                  <c:v>179.24510006147892</c:v>
                </c:pt>
                <c:pt idx="6">
                  <c:v>163.48682640639629</c:v>
                </c:pt>
              </c:numCache>
            </c:numRef>
          </c:val>
          <c:extLst xmlns:c16r2="http://schemas.microsoft.com/office/drawing/2015/06/chart">
            <c:ext xmlns:c16="http://schemas.microsoft.com/office/drawing/2014/chart" uri="{C3380CC4-5D6E-409C-BE32-E72D297353CC}">
              <c16:uniqueId val="{00000007-458C-4509-9A4A-F9314FB7612C}"/>
            </c:ext>
          </c:extLst>
        </c:ser>
        <c:ser>
          <c:idx val="8"/>
          <c:order val="8"/>
          <c:tx>
            <c:strRef>
              <c:f>'7.a'!$B$12</c:f>
              <c:strCache>
                <c:ptCount val="1"/>
                <c:pt idx="0">
                  <c:v>Aviation Gasoline</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'7.a'!$C$12:$AK$12</c:f>
              <c:numCache>
                <c:formatCode>_(* #\ ##0.00_);_(* \(#\ ##0.00\);_(* "-"??_);_(@_)</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8-458C-4509-9A4A-F9314FB7612C}"/>
            </c:ext>
          </c:extLst>
        </c:ser>
        <c:ser>
          <c:idx val="9"/>
          <c:order val="9"/>
          <c:tx>
            <c:strRef>
              <c:f>'7.a'!$B$13</c:f>
              <c:strCache>
                <c:ptCount val="1"/>
                <c:pt idx="0">
                  <c:v>Gasoline Type Jet Fuel</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'7.a'!$C$13:$AK$13</c:f>
              <c:numCache>
                <c:formatCode>_(* #\ ##0.00_);_(* \(#\ ##0.00\);_(* "-"??_);_(@_)</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9-458C-4509-9A4A-F9314FB7612C}"/>
            </c:ext>
          </c:extLst>
        </c:ser>
        <c:ser>
          <c:idx val="10"/>
          <c:order val="10"/>
          <c:tx>
            <c:strRef>
              <c:f>'7.a'!$B$14</c:f>
              <c:strCache>
                <c:ptCount val="1"/>
                <c:pt idx="0">
                  <c:v>Kerosene Type Jet Fuel</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'7.a'!$C$14:$AK$14</c:f>
              <c:numCache>
                <c:formatCode>_(* #\ ##0.00_);_(* \(#\ ##0.00\);_(* "-"??_);_(@_)</c:formatCode>
                <c:ptCount val="7"/>
                <c:pt idx="0">
                  <c:v>36.539303698648133</c:v>
                </c:pt>
                <c:pt idx="1">
                  <c:v>42.730321679421039</c:v>
                </c:pt>
                <c:pt idx="2">
                  <c:v>48.810480130409864</c:v>
                </c:pt>
                <c:pt idx="3">
                  <c:v>55.984355493121242</c:v>
                </c:pt>
                <c:pt idx="4">
                  <c:v>64.485732693441292</c:v>
                </c:pt>
                <c:pt idx="5">
                  <c:v>74.335701391325117</c:v>
                </c:pt>
                <c:pt idx="6">
                  <c:v>85.797443872312982</c:v>
                </c:pt>
              </c:numCache>
            </c:numRef>
          </c:val>
          <c:extLst xmlns:c16r2="http://schemas.microsoft.com/office/drawing/2015/06/chart">
            <c:ext xmlns:c16="http://schemas.microsoft.com/office/drawing/2014/chart" uri="{C3380CC4-5D6E-409C-BE32-E72D297353CC}">
              <c16:uniqueId val="{0000000A-458C-4509-9A4A-F9314FB7612C}"/>
            </c:ext>
          </c:extLst>
        </c:ser>
        <c:ser>
          <c:idx val="11"/>
          <c:order val="11"/>
          <c:tx>
            <c:strRef>
              <c:f>'7.a'!$B$15</c:f>
              <c:strCache>
                <c:ptCount val="1"/>
                <c:pt idx="0">
                  <c:v>Other Kerosene</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'7.a'!$C$15:$AK$15</c:f>
              <c:numCache>
                <c:formatCode>_(* #\ ##0.00_);_(* \(#\ ##0.00\);_(* "-"??_);_(@_)</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B-458C-4509-9A4A-F9314FB7612C}"/>
            </c:ext>
          </c:extLst>
        </c:ser>
        <c:ser>
          <c:idx val="12"/>
          <c:order val="12"/>
          <c:tx>
            <c:strRef>
              <c:f>'7.a'!$B$16</c:f>
              <c:strCache>
                <c:ptCount val="1"/>
                <c:pt idx="0">
                  <c:v>Gas/Diesel Oil (w/o bio)</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'7.a'!$C$16:$AK$16</c:f>
              <c:numCache>
                <c:formatCode>_(* #\ ##0.00_);_(* \(#\ ##0.00\);_(* "-"??_);_(@_)</c:formatCode>
                <c:ptCount val="7"/>
                <c:pt idx="0">
                  <c:v>616.83522947286713</c:v>
                </c:pt>
                <c:pt idx="1">
                  <c:v>654.22884942333042</c:v>
                </c:pt>
                <c:pt idx="2">
                  <c:v>596.59604352223653</c:v>
                </c:pt>
                <c:pt idx="3">
                  <c:v>441.11981235690735</c:v>
                </c:pt>
                <c:pt idx="4">
                  <c:v>235.84445659773573</c:v>
                </c:pt>
                <c:pt idx="5">
                  <c:v>251.89591234212284</c:v>
                </c:pt>
                <c:pt idx="6">
                  <c:v>265.60166485014804</c:v>
                </c:pt>
              </c:numCache>
            </c:numRef>
          </c:val>
          <c:extLst xmlns:c16r2="http://schemas.microsoft.com/office/drawing/2015/06/chart">
            <c:ext xmlns:c16="http://schemas.microsoft.com/office/drawing/2014/chart" uri="{C3380CC4-5D6E-409C-BE32-E72D297353CC}">
              <c16:uniqueId val="{0000000C-458C-4509-9A4A-F9314FB7612C}"/>
            </c:ext>
          </c:extLst>
        </c:ser>
        <c:ser>
          <c:idx val="13"/>
          <c:order val="13"/>
          <c:tx>
            <c:strRef>
              <c:f>'7.a'!$B$17</c:f>
              <c:strCache>
                <c:ptCount val="1"/>
                <c:pt idx="0">
                  <c:v>Fuel Oil</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'7.a'!$C$17:$AK$17</c:f>
              <c:numCache>
                <c:formatCode>_(* #\ ##0.00_);_(* \(#\ ##0.00\);_(* "-"??_);_(@_)</c:formatCode>
                <c:ptCount val="7"/>
                <c:pt idx="0">
                  <c:v>2.1638037032578579</c:v>
                </c:pt>
                <c:pt idx="1">
                  <c:v>1.7971370365911914</c:v>
                </c:pt>
                <c:pt idx="2">
                  <c:v>0.58666666666666667</c:v>
                </c:pt>
                <c:pt idx="3">
                  <c:v>0.40333333333333332</c:v>
                </c:pt>
                <c:pt idx="4">
                  <c:v>0.16434348676793731</c:v>
                </c:pt>
                <c:pt idx="5">
                  <c:v>0.25713703659119136</c:v>
                </c:pt>
                <c:pt idx="6">
                  <c:v>3.2141362903171875</c:v>
                </c:pt>
              </c:numCache>
            </c:numRef>
          </c:val>
          <c:extLst xmlns:c16r2="http://schemas.microsoft.com/office/drawing/2015/06/chart">
            <c:ext xmlns:c16="http://schemas.microsoft.com/office/drawing/2014/chart" uri="{C3380CC4-5D6E-409C-BE32-E72D297353CC}">
              <c16:uniqueId val="{0000000D-458C-4509-9A4A-F9314FB7612C}"/>
            </c:ext>
          </c:extLst>
        </c:ser>
        <c:ser>
          <c:idx val="14"/>
          <c:order val="14"/>
          <c:tx>
            <c:strRef>
              <c:f>'7.a'!$B$18</c:f>
              <c:strCache>
                <c:ptCount val="1"/>
                <c:pt idx="0">
                  <c:v>Petroleum Coke</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'7.a'!$C$18:$AK$18</c:f>
              <c:numCache>
                <c:formatCode>_(* #\ ##0.00_);_(* \(#\ ##0.00\);_(* "-"??_);_(@_)</c:formatCode>
                <c:ptCount val="7"/>
                <c:pt idx="0">
                  <c:v>3.5082130418458011</c:v>
                </c:pt>
                <c:pt idx="1">
                  <c:v>4.0695271285468619</c:v>
                </c:pt>
                <c:pt idx="2">
                  <c:v>4.6308412152479219</c:v>
                </c:pt>
                <c:pt idx="3">
                  <c:v>5.0167446498519155</c:v>
                </c:pt>
                <c:pt idx="4">
                  <c:v>5.402648084455909</c:v>
                </c:pt>
                <c:pt idx="5">
                  <c:v>5.7885515190599026</c:v>
                </c:pt>
                <c:pt idx="6">
                  <c:v>6.1744549536638953</c:v>
                </c:pt>
              </c:numCache>
            </c:numRef>
          </c:val>
          <c:extLst xmlns:c16r2="http://schemas.microsoft.com/office/drawing/2015/06/chart">
            <c:ext xmlns:c16="http://schemas.microsoft.com/office/drawing/2014/chart" uri="{C3380CC4-5D6E-409C-BE32-E72D297353CC}">
              <c16:uniqueId val="{0000000E-458C-4509-9A4A-F9314FB7612C}"/>
            </c:ext>
          </c:extLst>
        </c:ser>
        <c:ser>
          <c:idx val="15"/>
          <c:order val="15"/>
          <c:tx>
            <c:strRef>
              <c:f>'7.a'!$B$19</c:f>
              <c:strCache>
                <c:ptCount val="1"/>
                <c:pt idx="0">
                  <c:v>Other Products</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'7.a'!$C$19:$AK$19</c:f>
              <c:numCache>
                <c:formatCode>_(* #\ ##0.00_);_(* \(#\ ##0.00\);_(* "-"??_);_(@_)</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F-458C-4509-9A4A-F9314FB7612C}"/>
            </c:ext>
          </c:extLst>
        </c:ser>
        <c:ser>
          <c:idx val="16"/>
          <c:order val="16"/>
          <c:tx>
            <c:strRef>
              <c:f>'7.a'!$B$20</c:f>
              <c:strCache>
                <c:ptCount val="1"/>
                <c:pt idx="0">
                  <c:v>Natural gas</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'7.a'!$C$20:$AK$20</c:f>
              <c:numCache>
                <c:formatCode>_(* #\ ##0.00_);_(* \(#\ ##0.00\);_(* "-"??_);_(@_)</c:formatCode>
                <c:ptCount val="7"/>
                <c:pt idx="0">
                  <c:v>402.78772355206837</c:v>
                </c:pt>
                <c:pt idx="1">
                  <c:v>420.40732053692551</c:v>
                </c:pt>
                <c:pt idx="2">
                  <c:v>408.56287420901401</c:v>
                </c:pt>
                <c:pt idx="3">
                  <c:v>391.70490054872448</c:v>
                </c:pt>
                <c:pt idx="4">
                  <c:v>365.14472445901407</c:v>
                </c:pt>
                <c:pt idx="5">
                  <c:v>336.6753661046622</c:v>
                </c:pt>
                <c:pt idx="6">
                  <c:v>319.79504502992739</c:v>
                </c:pt>
              </c:numCache>
            </c:numRef>
          </c:val>
          <c:extLst xmlns:c16r2="http://schemas.microsoft.com/office/drawing/2015/06/chart">
            <c:ext xmlns:c16="http://schemas.microsoft.com/office/drawing/2014/chart" uri="{C3380CC4-5D6E-409C-BE32-E72D297353CC}">
              <c16:uniqueId val="{00000010-458C-4509-9A4A-F9314FB7612C}"/>
            </c:ext>
          </c:extLst>
        </c:ser>
        <c:ser>
          <c:idx val="17"/>
          <c:order val="17"/>
          <c:tx>
            <c:strRef>
              <c:f>'7.a'!$B$21</c:f>
              <c:strCache>
                <c:ptCount val="1"/>
                <c:pt idx="0">
                  <c:v>Blast furnace gas</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'7.a'!$C$21:$AK$21</c:f>
              <c:numCache>
                <c:formatCode>_(* #\ ##0.00_);_(* \(#\ ##0.00\);_(* "-"??_);_(@_)</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11-458C-4509-9A4A-F9314FB7612C}"/>
            </c:ext>
          </c:extLst>
        </c:ser>
        <c:ser>
          <c:idx val="18"/>
          <c:order val="18"/>
          <c:tx>
            <c:strRef>
              <c:f>'7.a'!$B$22</c:f>
              <c:strCache>
                <c:ptCount val="1"/>
                <c:pt idx="0">
                  <c:v>Solar thermal</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'7.a'!$C$22:$AK$22</c:f>
              <c:numCache>
                <c:formatCode>_(* #\ ##0.00_);_(* \(#\ ##0.00\);_(* "-"??_);_(@_)</c:formatCode>
                <c:ptCount val="7"/>
                <c:pt idx="0">
                  <c:v>0</c:v>
                </c:pt>
                <c:pt idx="1">
                  <c:v>0</c:v>
                </c:pt>
                <c:pt idx="2">
                  <c:v>1.4072777108053882</c:v>
                </c:pt>
                <c:pt idx="3">
                  <c:v>1.4072777108053882</c:v>
                </c:pt>
                <c:pt idx="4">
                  <c:v>1.4046846629645553</c:v>
                </c:pt>
                <c:pt idx="5">
                  <c:v>1.1884002614407185</c:v>
                </c:pt>
                <c:pt idx="6">
                  <c:v>1.1468013738654819</c:v>
                </c:pt>
              </c:numCache>
            </c:numRef>
          </c:val>
          <c:extLst xmlns:c16r2="http://schemas.microsoft.com/office/drawing/2015/06/chart">
            <c:ext xmlns:c16="http://schemas.microsoft.com/office/drawing/2014/chart" uri="{C3380CC4-5D6E-409C-BE32-E72D297353CC}">
              <c16:uniqueId val="{00000012-458C-4509-9A4A-F9314FB7612C}"/>
            </c:ext>
          </c:extLst>
        </c:ser>
        <c:ser>
          <c:idx val="19"/>
          <c:order val="19"/>
          <c:tx>
            <c:strRef>
              <c:f>'7.a'!$B$23</c:f>
              <c:strCache>
                <c:ptCount val="1"/>
                <c:pt idx="0">
                  <c:v>Solid biomass</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'7.a'!$C$23:$AK$23</c:f>
              <c:numCache>
                <c:formatCode>_(* #\ ##0.00_);_(* \(#\ ##0.00\);_(* "-"??_);_(@_)</c:formatCode>
                <c:ptCount val="7"/>
                <c:pt idx="0">
                  <c:v>611.8287770097927</c:v>
                </c:pt>
                <c:pt idx="1">
                  <c:v>592.20437684271997</c:v>
                </c:pt>
                <c:pt idx="2">
                  <c:v>577.84632395397443</c:v>
                </c:pt>
                <c:pt idx="3">
                  <c:v>523.35140612279076</c:v>
                </c:pt>
                <c:pt idx="4">
                  <c:v>418.53704507182101</c:v>
                </c:pt>
                <c:pt idx="5">
                  <c:v>274.47993169833768</c:v>
                </c:pt>
                <c:pt idx="6">
                  <c:v>197.15664162259961</c:v>
                </c:pt>
              </c:numCache>
            </c:numRef>
          </c:val>
          <c:extLst xmlns:c16r2="http://schemas.microsoft.com/office/drawing/2015/06/chart">
            <c:ext xmlns:c16="http://schemas.microsoft.com/office/drawing/2014/chart" uri="{C3380CC4-5D6E-409C-BE32-E72D297353CC}">
              <c16:uniqueId val="{00000013-458C-4509-9A4A-F9314FB7612C}"/>
            </c:ext>
          </c:extLst>
        </c:ser>
        <c:ser>
          <c:idx val="20"/>
          <c:order val="20"/>
          <c:tx>
            <c:strRef>
              <c:f>'7.a'!$B$24</c:f>
              <c:strCache>
                <c:ptCount val="1"/>
                <c:pt idx="0">
                  <c:v>Charcoal</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'7.a'!$C$24:$AK$24</c:f>
              <c:numCache>
                <c:formatCode>_(* #\ ##0.00_);_(* \(#\ ##0.00\);_(* "-"??_);_(@_)</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14-458C-4509-9A4A-F9314FB7612C}"/>
            </c:ext>
          </c:extLst>
        </c:ser>
        <c:ser>
          <c:idx val="21"/>
          <c:order val="21"/>
          <c:tx>
            <c:strRef>
              <c:f>'7.a'!$B$25</c:f>
              <c:strCache>
                <c:ptCount val="1"/>
                <c:pt idx="0">
                  <c:v>Biogas (all)</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'7.a'!$C$25:$AK$25</c:f>
              <c:numCache>
                <c:formatCode>_(* #\ ##0.00_);_(* \(#\ ##0.00\);_(* "-"??_);_(@_)</c:formatCode>
                <c:ptCount val="7"/>
                <c:pt idx="0">
                  <c:v>2.8348557725231678</c:v>
                </c:pt>
                <c:pt idx="1">
                  <c:v>0</c:v>
                </c:pt>
                <c:pt idx="2">
                  <c:v>3.0538283706171776</c:v>
                </c:pt>
                <c:pt idx="3">
                  <c:v>4.7738366284752081</c:v>
                </c:pt>
                <c:pt idx="4">
                  <c:v>9.753746289122958</c:v>
                </c:pt>
                <c:pt idx="5">
                  <c:v>10.742796474825642</c:v>
                </c:pt>
                <c:pt idx="6">
                  <c:v>11.345770860394573</c:v>
                </c:pt>
              </c:numCache>
            </c:numRef>
          </c:val>
          <c:extLst xmlns:c16r2="http://schemas.microsoft.com/office/drawing/2015/06/chart">
            <c:ext xmlns:c16="http://schemas.microsoft.com/office/drawing/2014/chart" uri="{C3380CC4-5D6E-409C-BE32-E72D297353CC}">
              <c16:uniqueId val="{00000015-458C-4509-9A4A-F9314FB7612C}"/>
            </c:ext>
          </c:extLst>
        </c:ser>
        <c:ser>
          <c:idx val="22"/>
          <c:order val="22"/>
          <c:tx>
            <c:strRef>
              <c:f>'7.a'!$B$26</c:f>
              <c:strCache>
                <c:ptCount val="1"/>
                <c:pt idx="0">
                  <c:v>Biofuels</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'7.a'!$C$26:$AK$26</c:f>
              <c:numCache>
                <c:formatCode>_(* #\ ##0.00_);_(* \(#\ ##0.00\);_(* "-"??_);_(@_)</c:formatCode>
                <c:ptCount val="7"/>
                <c:pt idx="0">
                  <c:v>0</c:v>
                </c:pt>
                <c:pt idx="1">
                  <c:v>0</c:v>
                </c:pt>
                <c:pt idx="2">
                  <c:v>0.94059396037546572</c:v>
                </c:pt>
                <c:pt idx="3">
                  <c:v>2.806937840044903</c:v>
                </c:pt>
                <c:pt idx="4">
                  <c:v>10.763988110394573</c:v>
                </c:pt>
                <c:pt idx="5">
                  <c:v>12.582229846660935</c:v>
                </c:pt>
                <c:pt idx="6">
                  <c:v>19.420762207437662</c:v>
                </c:pt>
              </c:numCache>
            </c:numRef>
          </c:val>
          <c:extLst xmlns:c16r2="http://schemas.microsoft.com/office/drawing/2015/06/chart">
            <c:ext xmlns:c16="http://schemas.microsoft.com/office/drawing/2014/chart" uri="{C3380CC4-5D6E-409C-BE32-E72D297353CC}">
              <c16:uniqueId val="{00000016-458C-4509-9A4A-F9314FB7612C}"/>
            </c:ext>
          </c:extLst>
        </c:ser>
        <c:ser>
          <c:idx val="23"/>
          <c:order val="23"/>
          <c:tx>
            <c:strRef>
              <c:f>'7.a'!$B$27</c:f>
              <c:strCache>
                <c:ptCount val="1"/>
                <c:pt idx="0">
                  <c:v>Geo-thermal</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'7.a'!$C$27:$AK$27</c:f>
              <c:numCache>
                <c:formatCode>_(* #\ ##0.00_);_(* \(#\ ##0.00\);_(* "-"??_);_(@_)</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17-458C-4509-9A4A-F9314FB7612C}"/>
            </c:ext>
          </c:extLst>
        </c:ser>
        <c:ser>
          <c:idx val="24"/>
          <c:order val="24"/>
          <c:tx>
            <c:strRef>
              <c:f>'7.a'!$B$28</c:f>
              <c:strCache>
                <c:ptCount val="1"/>
                <c:pt idx="0">
                  <c:v>Industrial wastes</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'7.a'!$C$28:$AK$28</c:f>
              <c:numCache>
                <c:formatCode>_(* #\ ##0.00_);_(* \(#\ ##0.00\);_(* "-"??_);_(@_)</c:formatCode>
                <c:ptCount val="7"/>
                <c:pt idx="0">
                  <c:v>0</c:v>
                </c:pt>
                <c:pt idx="1">
                  <c:v>0</c:v>
                </c:pt>
                <c:pt idx="2">
                  <c:v>0</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18-458C-4509-9A4A-F9314FB7612C}"/>
            </c:ext>
          </c:extLst>
        </c:ser>
        <c:ser>
          <c:idx val="25"/>
          <c:order val="25"/>
          <c:tx>
            <c:strRef>
              <c:f>'7.a'!$B$29</c:f>
              <c:strCache>
                <c:ptCount val="1"/>
                <c:pt idx="0">
                  <c:v>Derived heat</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'7.a'!$C$29:$AK$29</c:f>
              <c:numCache>
                <c:formatCode>_(* #\ ##0.00_);_(* \(#\ ##0.00\);_(* "-"??_);_(@_)</c:formatCode>
                <c:ptCount val="7"/>
                <c:pt idx="0">
                  <c:v>225.96275694468332</c:v>
                </c:pt>
                <c:pt idx="1">
                  <c:v>229.49563052858983</c:v>
                </c:pt>
                <c:pt idx="2">
                  <c:v>212.82016580978316</c:v>
                </c:pt>
                <c:pt idx="3">
                  <c:v>208.51953321326548</c:v>
                </c:pt>
                <c:pt idx="4">
                  <c:v>221.66913341454094</c:v>
                </c:pt>
                <c:pt idx="5">
                  <c:v>233.52521272960257</c:v>
                </c:pt>
                <c:pt idx="6">
                  <c:v>231.43508799367058</c:v>
                </c:pt>
              </c:numCache>
            </c:numRef>
          </c:val>
          <c:extLst xmlns:c16r2="http://schemas.microsoft.com/office/drawing/2015/06/chart">
            <c:ext xmlns:c16="http://schemas.microsoft.com/office/drawing/2014/chart" uri="{C3380CC4-5D6E-409C-BE32-E72D297353CC}">
              <c16:uniqueId val="{00000019-458C-4509-9A4A-F9314FB7612C}"/>
            </c:ext>
          </c:extLst>
        </c:ser>
        <c:ser>
          <c:idx val="26"/>
          <c:order val="26"/>
          <c:tx>
            <c:strRef>
              <c:f>'7.a'!$B$30</c:f>
              <c:strCache>
                <c:ptCount val="1"/>
                <c:pt idx="0">
                  <c:v>Electricity</c:v>
                </c:pt>
              </c:strCache>
            </c:strRef>
          </c:tx>
          <c:spPr>
            <a:ln w="25400">
              <a:noFill/>
            </a:ln>
          </c:spPr>
          <c:cat>
            <c:numRef>
              <c:f>'7.a'!$C$3:$AK$3</c:f>
              <c:numCache>
                <c:formatCode>General</c:formatCode>
                <c:ptCount val="7"/>
                <c:pt idx="0">
                  <c:v>2020</c:v>
                </c:pt>
                <c:pt idx="1">
                  <c:v>2025</c:v>
                </c:pt>
                <c:pt idx="2">
                  <c:v>2030</c:v>
                </c:pt>
                <c:pt idx="3">
                  <c:v>2035</c:v>
                </c:pt>
                <c:pt idx="4">
                  <c:v>2040</c:v>
                </c:pt>
                <c:pt idx="5">
                  <c:v>2045</c:v>
                </c:pt>
                <c:pt idx="6">
                  <c:v>2050</c:v>
                </c:pt>
              </c:numCache>
            </c:numRef>
          </c:cat>
          <c:val>
            <c:numRef>
              <c:f>'7.a'!$C$30:$AK$30</c:f>
              <c:numCache>
                <c:formatCode>_(* #\ ##0.00_);_(* \(#\ ##0.00\);_(* "-"??_);_(@_)</c:formatCode>
                <c:ptCount val="7"/>
                <c:pt idx="0">
                  <c:v>342.38464217509789</c:v>
                </c:pt>
                <c:pt idx="1">
                  <c:v>370.31422828095441</c:v>
                </c:pt>
                <c:pt idx="2">
                  <c:v>391.0202602086319</c:v>
                </c:pt>
                <c:pt idx="3">
                  <c:v>453.29390762668385</c:v>
                </c:pt>
                <c:pt idx="4">
                  <c:v>529.72189744119612</c:v>
                </c:pt>
                <c:pt idx="5">
                  <c:v>591.40183537188307</c:v>
                </c:pt>
                <c:pt idx="6">
                  <c:v>649.17747935048249</c:v>
                </c:pt>
              </c:numCache>
            </c:numRef>
          </c:val>
          <c:extLst xmlns:c16r2="http://schemas.microsoft.com/office/drawing/2015/06/chart">
            <c:ext xmlns:c16="http://schemas.microsoft.com/office/drawing/2014/chart" uri="{C3380CC4-5D6E-409C-BE32-E72D297353CC}">
              <c16:uniqueId val="{0000001A-458C-4509-9A4A-F9314FB7612C}"/>
            </c:ext>
          </c:extLst>
        </c:ser>
        <c:dLbls>
          <c:showLegendKey val="0"/>
          <c:showVal val="0"/>
          <c:showCatName val="0"/>
          <c:showSerName val="0"/>
          <c:showPercent val="0"/>
          <c:showBubbleSize val="0"/>
        </c:dLbls>
        <c:axId val="-1228388912"/>
        <c:axId val="-1223401392"/>
      </c:areaChart>
      <c:catAx>
        <c:axId val="-1228388912"/>
        <c:scaling>
          <c:orientation val="minMax"/>
        </c:scaling>
        <c:delete val="0"/>
        <c:axPos val="b"/>
        <c:numFmt formatCode="General" sourceLinked="0"/>
        <c:majorTickMark val="out"/>
        <c:minorTickMark val="none"/>
        <c:tickLblPos val="nextTo"/>
        <c:txPr>
          <a:bodyPr/>
          <a:lstStyle/>
          <a:p>
            <a:pPr>
              <a:defRPr sz="1000"/>
            </a:pPr>
            <a:endParaRPr lang="en-US"/>
          </a:p>
        </c:txPr>
        <c:crossAx val="-1223401392"/>
        <c:crosses val="autoZero"/>
        <c:auto val="1"/>
        <c:lblAlgn val="ctr"/>
        <c:lblOffset val="100"/>
        <c:tickLblSkip val="1"/>
        <c:noMultiLvlLbl val="0"/>
      </c:catAx>
      <c:valAx>
        <c:axId val="-1223401392"/>
        <c:scaling>
          <c:orientation val="minMax"/>
        </c:scaling>
        <c:delete val="0"/>
        <c:axPos val="l"/>
        <c:numFmt formatCode="_(* #\ ##0.00_);_(* \(#\ ##0.00\);_(* &quot;-&quot;??_);_(@_)" sourceLinked="1"/>
        <c:majorTickMark val="out"/>
        <c:minorTickMark val="none"/>
        <c:tickLblPos val="nextTo"/>
        <c:txPr>
          <a:bodyPr/>
          <a:lstStyle/>
          <a:p>
            <a:pPr>
              <a:defRPr sz="900"/>
            </a:pPr>
            <a:endParaRPr lang="en-US"/>
          </a:p>
        </c:txPr>
        <c:crossAx val="-1228388912"/>
        <c:crosses val="autoZero"/>
        <c:crossBetween val="midCat"/>
      </c:valAx>
    </c:plotArea>
    <c:legend>
      <c:legendPos val="r"/>
      <c:layout>
        <c:manualLayout>
          <c:xMode val="edge"/>
          <c:yMode val="edge"/>
          <c:x val="0.7625097824608722"/>
          <c:y val="3.0666040714857314E-2"/>
          <c:w val="0.2374902175391278"/>
          <c:h val="0.96933395928514254"/>
        </c:manualLayout>
      </c:layout>
      <c:overlay val="0"/>
      <c:txPr>
        <a:bodyPr/>
        <a:lstStyle/>
        <a:p>
          <a:pPr>
            <a:defRPr sz="900"/>
          </a:pPr>
          <a:endParaRPr lang="en-US"/>
        </a:p>
      </c:txPr>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6.3726155072184584E-2"/>
          <c:y val="0.13911580883118616"/>
          <c:w val="0.87773664169474785"/>
          <c:h val="0.73177255801167107"/>
        </c:manualLayout>
      </c:layout>
      <c:lineChart>
        <c:grouping val="standard"/>
        <c:varyColors val="0"/>
        <c:ser>
          <c:idx val="1"/>
          <c:order val="0"/>
          <c:tx>
            <c:strRef>
              <c:f>'9.'!$C$3</c:f>
              <c:strCache>
                <c:ptCount val="1"/>
                <c:pt idx="0">
                  <c:v> Energy Import Dependency </c:v>
                </c:pt>
              </c:strCache>
            </c:strRef>
          </c:tx>
          <c:cat>
            <c:numRef>
              <c:f>'9.'!$D$2:$AL$2</c:f>
              <c:numCache>
                <c:formatCode>General</c:formatCode>
                <c:ptCount val="8"/>
                <c:pt idx="0">
                  <c:v>2016</c:v>
                </c:pt>
                <c:pt idx="1">
                  <c:v>2020</c:v>
                </c:pt>
                <c:pt idx="2">
                  <c:v>2025</c:v>
                </c:pt>
                <c:pt idx="3">
                  <c:v>2030</c:v>
                </c:pt>
                <c:pt idx="4">
                  <c:v>2035</c:v>
                </c:pt>
                <c:pt idx="5">
                  <c:v>2040</c:v>
                </c:pt>
                <c:pt idx="6">
                  <c:v>2045</c:v>
                </c:pt>
                <c:pt idx="7">
                  <c:v>2050</c:v>
                </c:pt>
              </c:numCache>
            </c:numRef>
          </c:cat>
          <c:val>
            <c:numRef>
              <c:f>'9.'!$D$3:$AL$3</c:f>
              <c:numCache>
                <c:formatCode>0%</c:formatCode>
                <c:ptCount val="8"/>
                <c:pt idx="0">
                  <c:v>0.74745410742078455</c:v>
                </c:pt>
                <c:pt idx="1">
                  <c:v>0.78018053865344283</c:v>
                </c:pt>
                <c:pt idx="2">
                  <c:v>0.77757907199414145</c:v>
                </c:pt>
                <c:pt idx="3">
                  <c:v>0.76708543753295733</c:v>
                </c:pt>
                <c:pt idx="4">
                  <c:v>0.74389635728683212</c:v>
                </c:pt>
                <c:pt idx="5">
                  <c:v>0.7427811947096945</c:v>
                </c:pt>
                <c:pt idx="6">
                  <c:v>0.75522920646478142</c:v>
                </c:pt>
                <c:pt idx="7">
                  <c:v>0.75448659847457711</c:v>
                </c:pt>
              </c:numCache>
            </c:numRef>
          </c:val>
          <c:smooth val="0"/>
          <c:extLst xmlns:c16r2="http://schemas.microsoft.com/office/drawing/2015/06/chart">
            <c:ext xmlns:c16="http://schemas.microsoft.com/office/drawing/2014/chart" uri="{C3380CC4-5D6E-409C-BE32-E72D297353CC}">
              <c16:uniqueId val="{00000000-8D48-4811-8AFC-19FF090FB07A}"/>
            </c:ext>
          </c:extLst>
        </c:ser>
        <c:dLbls>
          <c:showLegendKey val="0"/>
          <c:showVal val="0"/>
          <c:showCatName val="0"/>
          <c:showSerName val="0"/>
          <c:showPercent val="0"/>
          <c:showBubbleSize val="0"/>
        </c:dLbls>
        <c:marker val="1"/>
        <c:smooth val="0"/>
        <c:axId val="-1223396496"/>
        <c:axId val="-1223403568"/>
      </c:lineChart>
      <c:catAx>
        <c:axId val="-1223396496"/>
        <c:scaling>
          <c:orientation val="minMax"/>
        </c:scaling>
        <c:delete val="0"/>
        <c:axPos val="b"/>
        <c:numFmt formatCode="General" sourceLinked="1"/>
        <c:majorTickMark val="out"/>
        <c:minorTickMark val="none"/>
        <c:tickLblPos val="nextTo"/>
        <c:crossAx val="-1223403568"/>
        <c:crosses val="autoZero"/>
        <c:auto val="1"/>
        <c:lblAlgn val="ctr"/>
        <c:lblOffset val="100"/>
        <c:noMultiLvlLbl val="0"/>
      </c:catAx>
      <c:valAx>
        <c:axId val="-1223403568"/>
        <c:scaling>
          <c:orientation val="minMax"/>
        </c:scaling>
        <c:delete val="0"/>
        <c:axPos val="l"/>
        <c:majorGridlines/>
        <c:numFmt formatCode="0%" sourceLinked="1"/>
        <c:majorTickMark val="out"/>
        <c:minorTickMark val="none"/>
        <c:tickLblPos val="nextTo"/>
        <c:crossAx val="-122339649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Energy dependency</a:t>
            </a:r>
            <a:endParaRPr lang="ru-RU" b="1"/>
          </a:p>
        </c:rich>
      </c:tx>
      <c:overlay val="0"/>
      <c:spPr>
        <a:noFill/>
        <a:ln>
          <a:noFill/>
        </a:ln>
        <a:effectLst/>
      </c:spPr>
    </c:title>
    <c:autoTitleDeleted val="0"/>
    <c:plotArea>
      <c:layout/>
      <c:lineChart>
        <c:grouping val="standard"/>
        <c:varyColors val="0"/>
        <c:ser>
          <c:idx val="0"/>
          <c:order val="0"/>
          <c:tx>
            <c:strRef>
              <c:f>'9.'!$C$4</c:f>
              <c:strCache>
                <c:ptCount val="1"/>
                <c:pt idx="0">
                  <c:v> Energy Import Dependency Oil and Oil Products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'9.'!$H$2:$AL$2</c:f>
              <c:numCache>
                <c:formatCode>General</c:formatCode>
                <c:ptCount val="7"/>
                <c:pt idx="0">
                  <c:v>2020</c:v>
                </c:pt>
                <c:pt idx="1">
                  <c:v>2025</c:v>
                </c:pt>
                <c:pt idx="2">
                  <c:v>2030</c:v>
                </c:pt>
                <c:pt idx="3">
                  <c:v>2035</c:v>
                </c:pt>
                <c:pt idx="4">
                  <c:v>2040</c:v>
                </c:pt>
                <c:pt idx="5">
                  <c:v>2045</c:v>
                </c:pt>
                <c:pt idx="6">
                  <c:v>2050</c:v>
                </c:pt>
              </c:numCache>
            </c:numRef>
          </c:cat>
          <c:val>
            <c:numRef>
              <c:f>'9.'!$H$4:$AL$4</c:f>
              <c:numCache>
                <c:formatCode>0%</c:formatCode>
                <c:ptCount val="7"/>
                <c:pt idx="0">
                  <c:v>0.99369830081336963</c:v>
                </c:pt>
                <c:pt idx="1">
                  <c:v>0.99466339851415486</c:v>
                </c:pt>
                <c:pt idx="2">
                  <c:v>0.99571359816057314</c:v>
                </c:pt>
                <c:pt idx="3">
                  <c:v>0.99638549939722376</c:v>
                </c:pt>
                <c:pt idx="4">
                  <c:v>0.99723717608872675</c:v>
                </c:pt>
                <c:pt idx="5">
                  <c:v>0.99820852360651047</c:v>
                </c:pt>
                <c:pt idx="6">
                  <c:v>0.9991305712221803</c:v>
                </c:pt>
              </c:numCache>
            </c:numRef>
          </c:val>
          <c:smooth val="0"/>
          <c:extLst xmlns:c16r2="http://schemas.microsoft.com/office/drawing/2015/06/chart">
            <c:ext xmlns:c16="http://schemas.microsoft.com/office/drawing/2014/chart" uri="{C3380CC4-5D6E-409C-BE32-E72D297353CC}">
              <c16:uniqueId val="{00000000-CEC8-4E23-94E2-AE845E077781}"/>
            </c:ext>
          </c:extLst>
        </c:ser>
        <c:ser>
          <c:idx val="1"/>
          <c:order val="1"/>
          <c:tx>
            <c:strRef>
              <c:f>'9.'!$C$5</c:f>
              <c:strCache>
                <c:ptCount val="1"/>
                <c:pt idx="0">
                  <c:v> Energy Import Dependency Natural Gas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'9.'!$H$2:$AL$2</c:f>
              <c:numCache>
                <c:formatCode>General</c:formatCode>
                <c:ptCount val="7"/>
                <c:pt idx="0">
                  <c:v>2020</c:v>
                </c:pt>
                <c:pt idx="1">
                  <c:v>2025</c:v>
                </c:pt>
                <c:pt idx="2">
                  <c:v>2030</c:v>
                </c:pt>
                <c:pt idx="3">
                  <c:v>2035</c:v>
                </c:pt>
                <c:pt idx="4">
                  <c:v>2040</c:v>
                </c:pt>
                <c:pt idx="5">
                  <c:v>2045</c:v>
                </c:pt>
                <c:pt idx="6">
                  <c:v>2050</c:v>
                </c:pt>
              </c:numCache>
            </c:numRef>
          </c:cat>
          <c:val>
            <c:numRef>
              <c:f>'9.'!$H$5:$AL$5</c:f>
              <c:numCache>
                <c:formatCode>0%</c:formatCode>
                <c:ptCount val="7"/>
                <c:pt idx="0">
                  <c:v>0.99989174566873951</c:v>
                </c:pt>
                <c:pt idx="1">
                  <c:v>0.99989887234071795</c:v>
                </c:pt>
                <c:pt idx="2">
                  <c:v>0.99990404175510006</c:v>
                </c:pt>
                <c:pt idx="3">
                  <c:v>0.99991062386547924</c:v>
                </c:pt>
                <c:pt idx="4">
                  <c:v>0.99992116536735531</c:v>
                </c:pt>
                <c:pt idx="5">
                  <c:v>0.99993149314760132</c:v>
                </c:pt>
                <c:pt idx="6">
                  <c:v>0.99994052666539801</c:v>
                </c:pt>
              </c:numCache>
            </c:numRef>
          </c:val>
          <c:smooth val="0"/>
          <c:extLst xmlns:c16r2="http://schemas.microsoft.com/office/drawing/2015/06/chart">
            <c:ext xmlns:c16="http://schemas.microsoft.com/office/drawing/2014/chart" uri="{C3380CC4-5D6E-409C-BE32-E72D297353CC}">
              <c16:uniqueId val="{00000001-CEC8-4E23-94E2-AE845E077781}"/>
            </c:ext>
          </c:extLst>
        </c:ser>
        <c:ser>
          <c:idx val="2"/>
          <c:order val="2"/>
          <c:tx>
            <c:strRef>
              <c:f>'9.'!$C$6</c:f>
              <c:strCache>
                <c:ptCount val="1"/>
                <c:pt idx="0">
                  <c:v> Energy Import Dependency Electricity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'9.'!$H$2:$AL$2</c:f>
              <c:numCache>
                <c:formatCode>General</c:formatCode>
                <c:ptCount val="7"/>
                <c:pt idx="0">
                  <c:v>2020</c:v>
                </c:pt>
                <c:pt idx="1">
                  <c:v>2025</c:v>
                </c:pt>
                <c:pt idx="2">
                  <c:v>2030</c:v>
                </c:pt>
                <c:pt idx="3">
                  <c:v>2035</c:v>
                </c:pt>
                <c:pt idx="4">
                  <c:v>2040</c:v>
                </c:pt>
                <c:pt idx="5">
                  <c:v>2045</c:v>
                </c:pt>
                <c:pt idx="6">
                  <c:v>2050</c:v>
                </c:pt>
              </c:numCache>
            </c:numRef>
          </c:cat>
          <c:val>
            <c:numRef>
              <c:f>'9.'!$H$6:$AL$6</c:f>
              <c:numCache>
                <c:formatCode>0%</c:formatCode>
                <c:ptCount val="7"/>
                <c:pt idx="0">
                  <c:v>0.77891017216576053</c:v>
                </c:pt>
                <c:pt idx="1">
                  <c:v>0.75230431235236506</c:v>
                </c:pt>
                <c:pt idx="2">
                  <c:v>0.70254773988064934</c:v>
                </c:pt>
                <c:pt idx="3">
                  <c:v>0.71516897762887055</c:v>
                </c:pt>
                <c:pt idx="4">
                  <c:v>0.67654959805020398</c:v>
                </c:pt>
                <c:pt idx="5">
                  <c:v>0.67940265448148984</c:v>
                </c:pt>
                <c:pt idx="6">
                  <c:v>0.64300196321638414</c:v>
                </c:pt>
              </c:numCache>
            </c:numRef>
          </c:val>
          <c:smooth val="0"/>
          <c:extLst xmlns:c16r2="http://schemas.microsoft.com/office/drawing/2015/06/chart">
            <c:ext xmlns:c16="http://schemas.microsoft.com/office/drawing/2014/chart" uri="{C3380CC4-5D6E-409C-BE32-E72D297353CC}">
              <c16:uniqueId val="{00000002-CEC8-4E23-94E2-AE845E077781}"/>
            </c:ext>
          </c:extLst>
        </c:ser>
        <c:dLbls>
          <c:showLegendKey val="0"/>
          <c:showVal val="0"/>
          <c:showCatName val="0"/>
          <c:showSerName val="0"/>
          <c:showPercent val="0"/>
          <c:showBubbleSize val="0"/>
        </c:dLbls>
        <c:marker val="1"/>
        <c:smooth val="0"/>
        <c:axId val="-1223398128"/>
        <c:axId val="-1223397584"/>
      </c:lineChart>
      <c:catAx>
        <c:axId val="-122339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3397584"/>
        <c:crosses val="autoZero"/>
        <c:auto val="1"/>
        <c:lblAlgn val="ctr"/>
        <c:lblOffset val="100"/>
        <c:noMultiLvlLbl val="0"/>
      </c:catAx>
      <c:valAx>
        <c:axId val="-1223397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339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2"/>
          <c:order val="2"/>
          <c:tx>
            <c:strRef>
              <c:f>Sheet1!$B$77</c:f>
              <c:strCache>
                <c:ptCount val="1"/>
                <c:pt idx="0">
                  <c:v>Share (difference)</c:v>
                </c:pt>
              </c:strCache>
            </c:strRef>
          </c:tx>
          <c:spPr>
            <a:solidFill>
              <a:schemeClr val="accent3"/>
            </a:solidFill>
            <a:ln>
              <a:noFill/>
            </a:ln>
            <a:effectLst/>
          </c:spPr>
          <c:invertIfNegative val="0"/>
          <c:val>
            <c:numRef>
              <c:f>Sheet1!$C$77:$I$77</c:f>
              <c:numCache>
                <c:formatCode>0.0%</c:formatCode>
                <c:ptCount val="7"/>
                <c:pt idx="0">
                  <c:v>1.0238084114477797E-4</c:v>
                </c:pt>
                <c:pt idx="1">
                  <c:v>1.6092596067333598E-2</c:v>
                </c:pt>
                <c:pt idx="2">
                  <c:v>5.743192799250596E-2</c:v>
                </c:pt>
                <c:pt idx="3">
                  <c:v>0.11459075741443542</c:v>
                </c:pt>
                <c:pt idx="4">
                  <c:v>0.16011481857751836</c:v>
                </c:pt>
                <c:pt idx="5">
                  <c:v>0.20028147149801132</c:v>
                </c:pt>
                <c:pt idx="6">
                  <c:v>0.22214150831942664</c:v>
                </c:pt>
              </c:numCache>
            </c:numRef>
          </c:val>
          <c:extLst xmlns:c16r2="http://schemas.microsoft.com/office/drawing/2015/06/chart">
            <c:ext xmlns:c16="http://schemas.microsoft.com/office/drawing/2014/chart" uri="{C3380CC4-5D6E-409C-BE32-E72D297353CC}">
              <c16:uniqueId val="{00000000-704B-48D0-820A-DF70E81E2FFF}"/>
            </c:ext>
          </c:extLst>
        </c:ser>
        <c:dLbls>
          <c:showLegendKey val="0"/>
          <c:showVal val="0"/>
          <c:showCatName val="0"/>
          <c:showSerName val="0"/>
          <c:showPercent val="0"/>
          <c:showBubbleSize val="0"/>
        </c:dLbls>
        <c:gapWidth val="219"/>
        <c:overlap val="100"/>
        <c:axId val="-1223399760"/>
        <c:axId val="-1223393776"/>
      </c:barChart>
      <c:lineChart>
        <c:grouping val="standard"/>
        <c:varyColors val="0"/>
        <c:ser>
          <c:idx val="0"/>
          <c:order val="0"/>
          <c:tx>
            <c:strRef>
              <c:f>Sheet1!$B$75</c:f>
              <c:strCache>
                <c:ptCount val="1"/>
                <c:pt idx="0">
                  <c:v>RES share (WEM)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Sheet1!$C$74:$I$74</c:f>
              <c:numCache>
                <c:formatCode>General</c:formatCode>
                <c:ptCount val="7"/>
                <c:pt idx="0">
                  <c:v>2020</c:v>
                </c:pt>
                <c:pt idx="1">
                  <c:v>2025</c:v>
                </c:pt>
                <c:pt idx="2">
                  <c:v>2030</c:v>
                </c:pt>
                <c:pt idx="3">
                  <c:v>2035</c:v>
                </c:pt>
                <c:pt idx="4">
                  <c:v>2040</c:v>
                </c:pt>
                <c:pt idx="5">
                  <c:v>2045</c:v>
                </c:pt>
                <c:pt idx="6">
                  <c:v>2050</c:v>
                </c:pt>
              </c:numCache>
            </c:numRef>
          </c:cat>
          <c:val>
            <c:numRef>
              <c:f>Sheet1!$C$75:$I$75</c:f>
              <c:numCache>
                <c:formatCode>0.0%</c:formatCode>
                <c:ptCount val="7"/>
                <c:pt idx="0">
                  <c:v>0.2422840850837526</c:v>
                </c:pt>
                <c:pt idx="1">
                  <c:v>0.24676169974020173</c:v>
                </c:pt>
                <c:pt idx="2">
                  <c:v>0.25622810501019161</c:v>
                </c:pt>
                <c:pt idx="3">
                  <c:v>0.25848793728186675</c:v>
                </c:pt>
                <c:pt idx="4">
                  <c:v>0.25715065926418462</c:v>
                </c:pt>
                <c:pt idx="5">
                  <c:v>0.24820799863668455</c:v>
                </c:pt>
                <c:pt idx="6">
                  <c:v>0.25306666135242961</c:v>
                </c:pt>
              </c:numCache>
            </c:numRef>
          </c:val>
          <c:smooth val="0"/>
          <c:extLst xmlns:c16r2="http://schemas.microsoft.com/office/drawing/2015/06/chart">
            <c:ext xmlns:c16="http://schemas.microsoft.com/office/drawing/2014/chart" uri="{C3380CC4-5D6E-409C-BE32-E72D297353CC}">
              <c16:uniqueId val="{00000001-704B-48D0-820A-DF70E81E2FFF}"/>
            </c:ext>
          </c:extLst>
        </c:ser>
        <c:ser>
          <c:idx val="1"/>
          <c:order val="1"/>
          <c:tx>
            <c:strRef>
              <c:f>Sheet1!$B$76</c:f>
              <c:strCache>
                <c:ptCount val="1"/>
                <c:pt idx="0">
                  <c:v>RES share (WPM)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Sheet1!$C$74:$I$74</c:f>
              <c:numCache>
                <c:formatCode>General</c:formatCode>
                <c:ptCount val="7"/>
                <c:pt idx="0">
                  <c:v>2020</c:v>
                </c:pt>
                <c:pt idx="1">
                  <c:v>2025</c:v>
                </c:pt>
                <c:pt idx="2">
                  <c:v>2030</c:v>
                </c:pt>
                <c:pt idx="3">
                  <c:v>2035</c:v>
                </c:pt>
                <c:pt idx="4">
                  <c:v>2040</c:v>
                </c:pt>
                <c:pt idx="5">
                  <c:v>2045</c:v>
                </c:pt>
                <c:pt idx="6">
                  <c:v>2050</c:v>
                </c:pt>
              </c:numCache>
            </c:numRef>
          </c:cat>
          <c:val>
            <c:numRef>
              <c:f>Sheet1!$C$76:$I$76</c:f>
              <c:numCache>
                <c:formatCode>0.0%</c:formatCode>
                <c:ptCount val="7"/>
                <c:pt idx="0">
                  <c:v>0.24238646592489738</c:v>
                </c:pt>
                <c:pt idx="1">
                  <c:v>0.26285429580753533</c:v>
                </c:pt>
                <c:pt idx="2">
                  <c:v>0.31366003300269757</c:v>
                </c:pt>
                <c:pt idx="3">
                  <c:v>0.37307869469630217</c:v>
                </c:pt>
                <c:pt idx="4">
                  <c:v>0.41726547784170298</c:v>
                </c:pt>
                <c:pt idx="5">
                  <c:v>0.44848947013469587</c:v>
                </c:pt>
                <c:pt idx="6">
                  <c:v>0.47520816967185625</c:v>
                </c:pt>
              </c:numCache>
            </c:numRef>
          </c:val>
          <c:smooth val="0"/>
          <c:extLst xmlns:c16r2="http://schemas.microsoft.com/office/drawing/2015/06/chart">
            <c:ext xmlns:c16="http://schemas.microsoft.com/office/drawing/2014/chart" uri="{C3380CC4-5D6E-409C-BE32-E72D297353CC}">
              <c16:uniqueId val="{00000002-704B-48D0-820A-DF70E81E2FFF}"/>
            </c:ext>
          </c:extLst>
        </c:ser>
        <c:dLbls>
          <c:showLegendKey val="0"/>
          <c:showVal val="0"/>
          <c:showCatName val="0"/>
          <c:showSerName val="0"/>
          <c:showPercent val="0"/>
          <c:showBubbleSize val="0"/>
        </c:dLbls>
        <c:marker val="1"/>
        <c:smooth val="0"/>
        <c:axId val="-1223399760"/>
        <c:axId val="-1223393776"/>
      </c:lineChart>
      <c:catAx>
        <c:axId val="-122339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3393776"/>
        <c:crosses val="autoZero"/>
        <c:auto val="1"/>
        <c:lblAlgn val="ctr"/>
        <c:lblOffset val="100"/>
        <c:noMultiLvlLbl val="0"/>
      </c:catAx>
      <c:valAx>
        <c:axId val="-12233937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339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04E1-5CED-4815-85FB-A0EB9420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29</Pages>
  <Words>8535</Words>
  <Characters>48652</Characters>
  <Application>Microsoft Office Word</Application>
  <DocSecurity>0</DocSecurity>
  <Lines>405</Lines>
  <Paragraphs>114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CEA</Company>
  <LinksUpToDate>false</LinksUpToDate>
  <CharactersWithSpaces>57073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DUSCIAC Dorin</dc:creator>
  <cp:keywords/>
  <dc:description/>
  <cp:lastModifiedBy>Doina Dînga</cp:lastModifiedBy>
  <cp:revision>4</cp:revision>
  <dcterms:created xsi:type="dcterms:W3CDTF">2024-02-05T08:53:00Z</dcterms:created>
  <dcterms:modified xsi:type="dcterms:W3CDTF">2024-02-05T13:40:00Z</dcterms:modified>
</cp:coreProperties>
</file>